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ind/>
        <w:jc w:val="center"/>
        <w:rPr>
          <w:u w:val="single"/>
        </w:rPr>
      </w:pPr>
    </w:p>
    <w:p w14:paraId="03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Взаимодействие заявителей с регистрирующими органами в электронном виде</w:t>
      </w:r>
    </w:p>
    <w:p w14:paraId="04000000">
      <w:pPr>
        <w:ind/>
        <w:jc w:val="center"/>
        <w:rPr>
          <w:u w:val="single"/>
        </w:rPr>
      </w:pPr>
    </w:p>
    <w:p w14:paraId="05000000">
      <w:pPr>
        <w:ind w:firstLine="708"/>
        <w:jc w:val="both"/>
      </w:pPr>
      <w:r>
        <w:t>Н</w:t>
      </w:r>
      <w:r>
        <w:t xml:space="preserve">ормами статьи 9 Федерального закона </w:t>
      </w:r>
      <w:r>
        <w:t>от 08.08.2001 №</w:t>
      </w:r>
      <w:r>
        <w:t xml:space="preserve"> 129-ФЗ</w:t>
      </w:r>
      <w:r>
        <w:t xml:space="preserve"> «О государственной регистрации юридических лиц и индивидуальных предпринимателей»</w:t>
      </w:r>
      <w:r>
        <w:t xml:space="preserve"> предусмотрена возможность представления документов</w:t>
      </w:r>
      <w:r>
        <w:t xml:space="preserve"> при государственной регистрации юридических лиц и индивидуальных предпринимателей</w:t>
      </w:r>
      <w:r>
        <w:t xml:space="preserve"> в регистрирующий орган </w:t>
      </w:r>
      <w:r>
        <w:t xml:space="preserve">в </w:t>
      </w:r>
      <w:r>
        <w:t xml:space="preserve">форме </w:t>
      </w:r>
      <w:r>
        <w:t>электронн</w:t>
      </w:r>
      <w:r>
        <w:t>ых документов, подписанных усиленной квалифицированной электронной подписью</w:t>
      </w:r>
      <w:r>
        <w:t>.</w:t>
      </w:r>
    </w:p>
    <w:p w14:paraId="06000000">
      <w:pPr>
        <w:ind w:firstLine="708"/>
        <w:jc w:val="both"/>
      </w:pPr>
      <w:r>
        <w:t>У</w:t>
      </w:r>
      <w:r>
        <w:t xml:space="preserve">становленный законодательством Российской Федерации о государственной регистрации юридических лиц и индивидуальных предпринимателей порядок направления в регистрирующий орган документов в электронной форме может быть реализован посредством использования </w:t>
      </w:r>
      <w:r>
        <w:t>одного из следующих</w:t>
      </w:r>
      <w:r>
        <w:t xml:space="preserve"> способ</w:t>
      </w:r>
      <w:r>
        <w:t>ов</w:t>
      </w:r>
      <w:r>
        <w:t>:</w:t>
      </w:r>
    </w:p>
    <w:p w14:paraId="07000000">
      <w:pPr>
        <w:ind w:firstLine="708"/>
        <w:jc w:val="both"/>
      </w:pPr>
      <w:r>
        <w:t>-</w:t>
      </w:r>
      <w:r>
        <w:t>через</w:t>
      </w:r>
      <w:r>
        <w:t xml:space="preserve"> </w:t>
      </w:r>
      <w:r>
        <w:t>многофункциональный центр предоставления государственных и муниципальных услуг</w:t>
      </w:r>
      <w:r>
        <w:t>;</w:t>
      </w:r>
    </w:p>
    <w:p w14:paraId="08000000">
      <w:pPr>
        <w:ind w:firstLine="708"/>
        <w:jc w:val="both"/>
      </w:pPr>
      <w:r>
        <w:t>-</w:t>
      </w:r>
      <w:r>
        <w:t xml:space="preserve">непосредственно </w:t>
      </w:r>
      <w:r>
        <w:t>заявителем</w:t>
      </w:r>
      <w:r>
        <w:t>,</w:t>
      </w:r>
      <w:r>
        <w:t xml:space="preserve"> </w:t>
      </w:r>
      <w:r>
        <w:t>с использованием информационно-телекоммуникационных сетей, в том числе сети "Интернет", включая единый портал государственных и муниципальных услуг</w:t>
      </w:r>
      <w:r>
        <w:t xml:space="preserve">, через электронный сервис сайта ФНС России </w:t>
      </w:r>
      <w:r>
        <w:t>www</w:t>
      </w:r>
      <w:r>
        <w:t>.</w:t>
      </w:r>
      <w:r>
        <w:t>nalog</w:t>
      </w:r>
      <w:r>
        <w:t>.</w:t>
      </w:r>
      <w:r>
        <w:t>ru</w:t>
      </w:r>
      <w:r>
        <w:t>;</w:t>
      </w:r>
    </w:p>
    <w:p w14:paraId="09000000">
      <w:pPr>
        <w:ind w:firstLine="708"/>
        <w:jc w:val="both"/>
      </w:pPr>
      <w:r>
        <w:t>-через нотариуса</w:t>
      </w:r>
      <w:r>
        <w:t>.</w:t>
      </w:r>
    </w:p>
    <w:p w14:paraId="0A000000">
      <w:pPr>
        <w:ind w:firstLine="708"/>
        <w:jc w:val="both"/>
      </w:pPr>
      <w:r>
        <w:t>С</w:t>
      </w:r>
      <w:r>
        <w:t xml:space="preserve"> 1 января 2019</w:t>
      </w:r>
      <w:r>
        <w:t xml:space="preserve"> </w:t>
      </w:r>
      <w:r>
        <w:t xml:space="preserve">в силу пп. 32 п. 3 ст. 333.35 Налогового кодекса Российской Федерации  за совершение юридически значимых действий, предусмотренных пп. 1, 3, 6 и 7 п. 1 ст. 333.33 </w:t>
      </w:r>
      <w:r>
        <w:t xml:space="preserve">Налогового </w:t>
      </w:r>
      <w:r>
        <w:t>Кодекса</w:t>
      </w:r>
      <w:r>
        <w:t xml:space="preserve"> Российской Федерации</w:t>
      </w:r>
      <w:r>
        <w:t>, в случаях направления в регистрирующий орган документов, необходимых для совершения таких юридически значимых действий, в форме электронных документов в порядке, установленном законодательством Российской Федерации о государственной регистрации юридических лиц и индивидуальных предпринимателей, государственная пошлина не уплачивается.</w:t>
      </w:r>
    </w:p>
    <w:p w14:paraId="0B000000">
      <w:pPr>
        <w:ind w:firstLine="708"/>
        <w:jc w:val="both"/>
      </w:pPr>
      <w:r>
        <w:t>Кроме того, с</w:t>
      </w:r>
      <w:r>
        <w:t xml:space="preserve"> 29.04.2018 введен в действие новый порядок выдачи документов, подтверждающих регистрацию (реорганизацию, внесение изменений в учредительный документ) юридического лица или индивидуального предпринимателя. </w:t>
      </w:r>
    </w:p>
    <w:p w14:paraId="0C000000">
      <w:pPr>
        <w:ind w:firstLine="708"/>
        <w:jc w:val="both"/>
      </w:pPr>
      <w:r>
        <w:t>Все документы по регистрации в адрес заявителя направля</w:t>
      </w:r>
      <w:r>
        <w:t>ю</w:t>
      </w:r>
      <w:r>
        <w:t>тся в форме электронного документа, подписанного усиленной квалифицированной электронной подписью</w:t>
      </w:r>
      <w:r>
        <w:t>.</w:t>
      </w:r>
    </w:p>
    <w:p w14:paraId="0D000000">
      <w:pPr>
        <w:ind w:firstLine="708"/>
        <w:jc w:val="both"/>
      </w:pPr>
      <w:r>
        <w:t xml:space="preserve"> </w:t>
      </w:r>
      <w:r>
        <w:t>В данном случае важно:</w:t>
      </w:r>
    </w:p>
    <w:p w14:paraId="0E000000">
      <w:pPr>
        <w:ind/>
        <w:jc w:val="both"/>
      </w:pPr>
      <w:r>
        <w:t>- срок для направления указанных документов - не позднее одного рабочего дня, следующего за днем истечения установленного для государственной регистрации срока;</w:t>
      </w:r>
    </w:p>
    <w:p w14:paraId="0F000000">
      <w:pPr>
        <w:ind/>
        <w:jc w:val="both"/>
      </w:pPr>
      <w:r>
        <w:t>- электронный адрес, по которому будут направлены эти документы, - включенный в соответствую</w:t>
      </w:r>
      <w:r>
        <w:t>щий государственный реестр адрес электронной почты юридического лица или индивидуального предпринимателя, а также адрес электронной почты, указанный заявителем при представлении документов в регистрирующий орган.</w:t>
      </w:r>
    </w:p>
    <w:p w14:paraId="10000000">
      <w:pPr>
        <w:ind w:firstLine="708"/>
        <w:jc w:val="both"/>
      </w:pPr>
      <w:r>
        <w:t>Если заявитель действует через МФЦ</w:t>
      </w:r>
      <w:r>
        <w:t xml:space="preserve"> или нотариуса</w:t>
      </w:r>
      <w:r>
        <w:t>, то документы, связанные с государственной регистрацией, будут направлены заявителю</w:t>
      </w:r>
      <w:r>
        <w:t xml:space="preserve"> </w:t>
      </w:r>
      <w:r>
        <w:t>в форме электронных документов, подписанных</w:t>
      </w:r>
      <w:r>
        <w:t xml:space="preserve"> </w:t>
      </w:r>
      <w:r>
        <w:t>усиленной квалифицированной электронной подписью</w:t>
      </w:r>
      <w:r>
        <w:t xml:space="preserve">, в </w:t>
      </w:r>
      <w:r>
        <w:t>МФЦ или нотариусом.</w:t>
      </w:r>
    </w:p>
    <w:p w14:paraId="11000000">
      <w:pPr>
        <w:ind w:firstLine="708"/>
        <w:jc w:val="both"/>
      </w:pPr>
      <w:r>
        <w:t>Основными преимуществами электронной подачи документов в регистрирующий орган является то, что при подаче документов в электронном виде отсутствует необходимость заявителя лично являться в регистрирующий орган; заявители, имеющие усиленную квалифицированную электронную подпись, совершают процедуру подачи документов самостоятельно, при этом свидетельствование подлинности подписи заявителя и оплата услуг нотариуса не требуется; значительно экономятся время и финансовые средства заявителя, возможность отследить этапы прохождения государственной регистрации представленных документов через сайт ФНС через электронный сервис «Риски бизнеса»: проверь себя и контрагента в разделе «Сведения о юридических лицах и индивидуальных предпринимателях, в отношении которых представлены документы на государственную регистрацию.</w:t>
      </w:r>
    </w:p>
    <w:p w14:paraId="12000000">
      <w:pPr>
        <w:ind w:firstLine="708"/>
        <w:jc w:val="both"/>
      </w:pPr>
      <w:r>
        <w:t>Рекомендуем максимально использовать возможности электронных сервисов на сайте ФНС России</w:t>
      </w:r>
      <w:r>
        <w:t>,</w:t>
      </w:r>
      <w:r>
        <w:t xml:space="preserve"> воспользовавшись которыми, заявитель не только сэкономит время, но и  создаст для себя наиболее комфортные условия при взаимодействии с налоговыми органами.</w:t>
      </w:r>
    </w:p>
    <w:p w14:paraId="13000000">
      <w:pPr>
        <w:ind/>
        <w:jc w:val="both"/>
      </w:pP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Печать для хозяйственных обществ необязательна.</w:t>
      </w:r>
    </w:p>
    <w:p w14:paraId="1B000000">
      <w:pPr>
        <w:ind/>
        <w:jc w:val="center"/>
        <w:rPr>
          <w:u w:val="single"/>
        </w:rPr>
      </w:pPr>
    </w:p>
    <w:p w14:paraId="1C000000">
      <w:pPr>
        <w:ind w:firstLine="708"/>
        <w:jc w:val="both"/>
      </w:pPr>
      <w:r>
        <w:t>Налоговая</w:t>
      </w:r>
      <w:r>
        <w:t xml:space="preserve"> </w:t>
      </w:r>
      <w:r>
        <w:t>служба</w:t>
      </w:r>
      <w:r>
        <w:t xml:space="preserve"> напомина</w:t>
      </w:r>
      <w:r>
        <w:t>е</w:t>
      </w:r>
      <w:r>
        <w:t>т, что с 7 апреля 2015 года вступил в силу Федеральный</w:t>
      </w:r>
      <w:r>
        <w:t xml:space="preserve"> </w:t>
      </w:r>
      <w:r>
        <w:t>закон 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обществ».</w:t>
      </w:r>
    </w:p>
    <w:p w14:paraId="1D000000">
      <w:pPr>
        <w:ind w:firstLine="708"/>
        <w:jc w:val="both"/>
      </w:pPr>
      <w:r>
        <w:t>С указанной даты акционерные общества и общества с ограниченной ответственностью вправе, но не обязаны иметь печать. При этом если организация желает иметь печать, то сведения о наличии печати должны содержаться в ее уставе.</w:t>
      </w:r>
    </w:p>
    <w:sectPr>
      <w:headerReference r:id="rId1" w:type="default"/>
      <w:pgSz w:h="16838" w:w="11906"/>
      <w:pgMar w:bottom="899" w:footer="709" w:gutter="0" w:header="709" w:left="1134" w:right="567" w:top="34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6"/>
    </w:rPr>
  </w:style>
  <w:style w:default="1" w:styleId="Style_3_ch" w:type="character">
    <w:name w:val="Normal"/>
    <w:link w:val="Style_3"/>
    <w:rPr>
      <w:sz w:val="26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ConsPlusTitle"/>
    <w:link w:val="Style_7_ch"/>
    <w:rPr>
      <w:b w:val="1"/>
      <w:sz w:val="26"/>
    </w:rPr>
  </w:style>
  <w:style w:styleId="Style_7_ch" w:type="character">
    <w:name w:val="ConsPlusTitle"/>
    <w:link w:val="Style_7"/>
    <w:rPr>
      <w:b w:val="1"/>
      <w:sz w:val="26"/>
    </w:rPr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Strong"/>
    <w:link w:val="Style_10_ch"/>
    <w:rPr>
      <w:b w:val="1"/>
    </w:rPr>
  </w:style>
  <w:style w:styleId="Style_10_ch" w:type="character">
    <w:name w:val="Strong"/>
    <w:link w:val="Style_10"/>
    <w:rPr>
      <w:b w:val="1"/>
    </w:rPr>
  </w:style>
  <w:style w:styleId="Style_11" w:type="paragraph">
    <w:name w:val="ConsNormal"/>
    <w:link w:val="Style_11_ch"/>
    <w:pPr>
      <w:ind w:firstLine="720"/>
    </w:pPr>
    <w:rPr>
      <w:rFonts w:ascii="SchoolDL" w:hAnsi="SchoolDL"/>
      <w:sz w:val="16"/>
    </w:rPr>
  </w:style>
  <w:style w:styleId="Style_11_ch" w:type="character">
    <w:name w:val="ConsNormal"/>
    <w:link w:val="Style_11"/>
    <w:rPr>
      <w:rFonts w:ascii="SchoolDL" w:hAnsi="SchoolDL"/>
      <w:sz w:val="16"/>
    </w:rPr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ConsPlusNonformat"/>
    <w:link w:val="Style_15_ch"/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Body Text"/>
    <w:basedOn w:val="Style_3"/>
    <w:link w:val="Style_23_ch"/>
    <w:pPr>
      <w:ind/>
      <w:jc w:val="right"/>
    </w:pPr>
    <w:rPr>
      <w:rFonts w:ascii="SchoolDL" w:hAnsi="SchoolDL"/>
      <w:sz w:val="24"/>
    </w:rPr>
  </w:style>
  <w:style w:styleId="Style_23_ch" w:type="character">
    <w:name w:val="Body Text"/>
    <w:basedOn w:val="Style_3_ch"/>
    <w:link w:val="Style_23"/>
    <w:rPr>
      <w:rFonts w:ascii="SchoolDL" w:hAnsi="SchoolDL"/>
      <w:sz w:val="24"/>
    </w:rPr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2_ch" w:type="character">
    <w:name w:val="header"/>
    <w:basedOn w:val="Style_3_ch"/>
    <w:link w:val="Style_2"/>
    <w:rPr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Normal (Web)"/>
    <w:basedOn w:val="Style_3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Normal (Web)"/>
    <w:basedOn w:val="Style_3_ch"/>
    <w:link w:val="Style_25"/>
    <w:rPr>
      <w:sz w:val="24"/>
    </w:rPr>
  </w:style>
  <w:style w:styleId="Style_26" w:type="paragraph">
    <w:name w:val="toc 5"/>
    <w:next w:val="Style_3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Body Text Indent"/>
    <w:basedOn w:val="Style_3"/>
    <w:link w:val="Style_27_ch"/>
    <w:pPr>
      <w:spacing w:after="120"/>
      <w:ind w:firstLine="0" w:left="283"/>
    </w:pPr>
  </w:style>
  <w:style w:styleId="Style_27_ch" w:type="character">
    <w:name w:val="Body Text Indent"/>
    <w:basedOn w:val="Style_3_ch"/>
    <w:link w:val="Style_27"/>
  </w:style>
  <w:style w:styleId="Style_28" w:type="paragraph">
    <w:name w:val="Subtitle"/>
    <w:next w:val="Style_3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basedOn w:val="Style_3"/>
    <w:next w:val="Style_3"/>
    <w:link w:val="Style_31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31_ch" w:type="character">
    <w:name w:val="heading 4"/>
    <w:basedOn w:val="Style_3_ch"/>
    <w:link w:val="Style_31"/>
    <w:rPr>
      <w:b w:val="1"/>
      <w:sz w:val="16"/>
    </w:rPr>
  </w:style>
  <w:style w:styleId="Style_32" w:type="paragraph">
    <w:name w:val="ConsPlusNormal"/>
    <w:link w:val="Style_32_ch"/>
    <w:pPr>
      <w:widowControl w:val="0"/>
      <w:ind w:firstLine="72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