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49D" w:rsidRDefault="006C58F7" w:rsidP="00636F46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</w:p>
    <w:p w:rsidR="005849F3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период с 1</w:t>
      </w:r>
      <w:r w:rsidR="0099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B4B">
        <w:rPr>
          <w:rFonts w:ascii="Times New Roman" w:hAnsi="Times New Roman" w:cs="Times New Roman"/>
          <w:b/>
          <w:sz w:val="28"/>
          <w:szCs w:val="28"/>
        </w:rPr>
        <w:t>января</w:t>
      </w:r>
      <w:r w:rsidR="00E3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A5">
        <w:rPr>
          <w:rFonts w:ascii="Times New Roman" w:hAnsi="Times New Roman" w:cs="Times New Roman"/>
          <w:b/>
          <w:sz w:val="28"/>
          <w:szCs w:val="28"/>
        </w:rPr>
        <w:t>201</w:t>
      </w:r>
      <w:r w:rsidR="003B5B4B">
        <w:rPr>
          <w:rFonts w:ascii="Times New Roman" w:hAnsi="Times New Roman" w:cs="Times New Roman"/>
          <w:b/>
          <w:sz w:val="28"/>
          <w:szCs w:val="28"/>
        </w:rPr>
        <w:t>7</w:t>
      </w:r>
      <w:r w:rsidR="00AE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0E" w:rsidRPr="00DF5C0E">
        <w:rPr>
          <w:rFonts w:ascii="Times New Roman" w:hAnsi="Times New Roman" w:cs="Times New Roman"/>
          <w:b/>
          <w:sz w:val="28"/>
          <w:szCs w:val="28"/>
        </w:rPr>
        <w:t>г.</w:t>
      </w:r>
      <w:r w:rsidR="00DF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0A5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60A5">
        <w:rPr>
          <w:rFonts w:ascii="Times New Roman" w:hAnsi="Times New Roman" w:cs="Times New Roman"/>
          <w:b/>
          <w:sz w:val="28"/>
          <w:szCs w:val="28"/>
        </w:rPr>
        <w:t>3</w:t>
      </w:r>
      <w:r w:rsidR="003B5B4B">
        <w:rPr>
          <w:rFonts w:ascii="Times New Roman" w:hAnsi="Times New Roman" w:cs="Times New Roman"/>
          <w:b/>
          <w:sz w:val="28"/>
          <w:szCs w:val="28"/>
        </w:rPr>
        <w:t>0</w:t>
      </w:r>
      <w:r w:rsidR="00E3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B4B">
        <w:rPr>
          <w:rFonts w:ascii="Times New Roman" w:hAnsi="Times New Roman" w:cs="Times New Roman"/>
          <w:b/>
          <w:sz w:val="28"/>
          <w:szCs w:val="28"/>
        </w:rPr>
        <w:t>июня</w:t>
      </w:r>
      <w:r w:rsidR="00E3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A5">
        <w:rPr>
          <w:rFonts w:ascii="Times New Roman" w:hAnsi="Times New Roman" w:cs="Times New Roman"/>
          <w:b/>
          <w:sz w:val="28"/>
          <w:szCs w:val="28"/>
        </w:rPr>
        <w:t>201</w:t>
      </w:r>
      <w:r w:rsidR="003B5B4B">
        <w:rPr>
          <w:rFonts w:ascii="Times New Roman" w:hAnsi="Times New Roman" w:cs="Times New Roman"/>
          <w:b/>
          <w:sz w:val="28"/>
          <w:szCs w:val="28"/>
        </w:rPr>
        <w:t>7</w:t>
      </w:r>
      <w:r w:rsidR="00AE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0E" w:rsidRPr="00DF5C0E">
        <w:rPr>
          <w:rFonts w:ascii="Times New Roman" w:hAnsi="Times New Roman" w:cs="Times New Roman"/>
          <w:b/>
          <w:sz w:val="28"/>
          <w:szCs w:val="28"/>
        </w:rPr>
        <w:t>г.</w:t>
      </w:r>
      <w:r w:rsidR="00DF5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и рекомендаций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включения </w:t>
      </w:r>
    </w:p>
    <w:p w:rsidR="005849F3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норм в разрабатываемые проекты </w:t>
      </w:r>
    </w:p>
    <w:p w:rsidR="009609E2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AE60A5" w:rsidRDefault="00AE60A5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3E7927" w:rsidRDefault="003E79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нормативных правовых актов (их проектов)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согласно методике, определенной Правительством Российской Федерации.</w:t>
      </w:r>
    </w:p>
    <w:p w:rsidR="00B43AC0" w:rsidRDefault="00B43AC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Рекомендациями по минимизации проявлений «бытовой» коррупции в субъектах Российской Федерации, разработанны</w:t>
      </w:r>
      <w:r w:rsidR="004620BB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>
        <w:rPr>
          <w:rFonts w:ascii="Times New Roman" w:hAnsi="Times New Roman" w:cs="Times New Roman"/>
          <w:bCs/>
          <w:sz w:val="28"/>
          <w:szCs w:val="28"/>
        </w:rPr>
        <w:t>аппаратом полномочного представителя Президента Российской Федерации в Северо-Западном федеральном округе совместно с органами прокуратуры, внутренних дел и Следственного комитета Российской Федерации (письмо от 3</w:t>
      </w:r>
      <w:r w:rsidR="00722079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2013 г. № А51-9423), органам </w:t>
      </w:r>
      <w:r w:rsidRPr="00800CF6">
        <w:rPr>
          <w:rFonts w:ascii="Times New Roman" w:hAnsi="Times New Roman" w:cs="Times New Roman"/>
          <w:bCs/>
          <w:sz w:val="28"/>
          <w:szCs w:val="28"/>
        </w:rPr>
        <w:t>власти  субъект</w:t>
      </w:r>
      <w:r w:rsidR="007A0416" w:rsidRPr="00800CF6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рекомендовано регулярно обобщать работу по антикоррупцио</w:t>
      </w:r>
      <w:r w:rsidR="004620BB">
        <w:rPr>
          <w:rFonts w:ascii="Times New Roman" w:hAnsi="Times New Roman" w:cs="Times New Roman"/>
          <w:bCs/>
          <w:sz w:val="28"/>
          <w:szCs w:val="28"/>
        </w:rPr>
        <w:t>нной экспертизе правотворчества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совершенствования дальнейшей деятельности.</w:t>
      </w:r>
      <w:proofErr w:type="gramEnd"/>
    </w:p>
    <w:p w:rsidR="00B43AC0" w:rsidRDefault="00B43AC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</w:t>
      </w:r>
      <w:r w:rsidR="000B577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4B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анных рекомендаций Администрацией </w:t>
      </w:r>
      <w:r w:rsidR="00F924B1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(далее – Администрация) </w:t>
      </w:r>
      <w:r>
        <w:rPr>
          <w:rFonts w:ascii="Times New Roman" w:hAnsi="Times New Roman" w:cs="Times New Roman"/>
          <w:bCs/>
          <w:sz w:val="28"/>
          <w:szCs w:val="28"/>
        </w:rPr>
        <w:t>утвержд</w:t>
      </w:r>
      <w:r w:rsidR="005D0AF3">
        <w:rPr>
          <w:rFonts w:ascii="Times New Roman" w:hAnsi="Times New Roman" w:cs="Times New Roman"/>
          <w:bCs/>
          <w:sz w:val="28"/>
          <w:szCs w:val="28"/>
        </w:rPr>
        <w:t>ен П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лан по их реализации, согласно которому 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gramStart"/>
      <w:r w:rsidRPr="00800CF6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proofErr w:type="gramEnd"/>
      <w:r w:rsidRPr="00800CF6">
        <w:rPr>
          <w:rFonts w:ascii="Times New Roman" w:hAnsi="Times New Roman" w:cs="Times New Roman"/>
          <w:bCs/>
          <w:sz w:val="28"/>
          <w:szCs w:val="28"/>
        </w:rPr>
        <w:t xml:space="preserve">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 мониторинг результатов проведенных антикоррупционных экспертиз и подготовка по итогам мониторинга соответствующих рекомендаций для государственных органов с целью недопущения при подготовке проектов </w:t>
      </w:r>
      <w:proofErr w:type="spellStart"/>
      <w:r w:rsidR="000B5779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0B5779">
        <w:rPr>
          <w:rFonts w:ascii="Times New Roman" w:hAnsi="Times New Roman" w:cs="Times New Roman"/>
          <w:bCs/>
          <w:sz w:val="28"/>
          <w:szCs w:val="28"/>
        </w:rPr>
        <w:t xml:space="preserve"> факторов. </w:t>
      </w:r>
    </w:p>
    <w:p w:rsidR="003E2BA1" w:rsidRDefault="000B5779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целью реализации </w:t>
      </w:r>
      <w:r w:rsidR="00F924B1">
        <w:rPr>
          <w:rFonts w:ascii="Times New Roman" w:hAnsi="Times New Roman" w:cs="Times New Roman"/>
          <w:bCs/>
          <w:sz w:val="28"/>
          <w:szCs w:val="28"/>
        </w:rPr>
        <w:t>указанного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Плана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, а также в соответствии с 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позицией 5.11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таблиц</w:t>
      </w:r>
      <w:r w:rsidR="003B5B4B">
        <w:rPr>
          <w:rFonts w:ascii="Times New Roman" w:hAnsi="Times New Roman" w:cs="Times New Roman"/>
          <w:bCs/>
          <w:sz w:val="28"/>
          <w:szCs w:val="28"/>
        </w:rPr>
        <w:t>ы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</w:t>
      </w:r>
      <w:r w:rsidR="003B5B4B">
        <w:rPr>
          <w:rFonts w:ascii="Times New Roman" w:hAnsi="Times New Roman" w:cs="Times New Roman"/>
          <w:bCs/>
          <w:sz w:val="28"/>
          <w:szCs w:val="28"/>
        </w:rPr>
        <w:t>»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раздела I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</w:t>
      </w:r>
      <w:r w:rsidR="003B5B4B">
        <w:rPr>
          <w:rFonts w:ascii="Times New Roman" w:hAnsi="Times New Roman" w:cs="Times New Roman"/>
          <w:bCs/>
          <w:sz w:val="28"/>
          <w:szCs w:val="28"/>
        </w:rPr>
        <w:t>»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региональной программы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(2016 - 2020 годы)</w:t>
      </w:r>
      <w:r w:rsidR="003B5B4B">
        <w:rPr>
          <w:rFonts w:ascii="Times New Roman" w:hAnsi="Times New Roman" w:cs="Times New Roman"/>
          <w:bCs/>
          <w:sz w:val="28"/>
          <w:szCs w:val="28"/>
        </w:rPr>
        <w:t>», утвержденной п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3B5B4B">
        <w:rPr>
          <w:rFonts w:ascii="Times New Roman" w:hAnsi="Times New Roman" w:cs="Times New Roman"/>
          <w:bCs/>
          <w:sz w:val="28"/>
          <w:szCs w:val="28"/>
        </w:rPr>
        <w:t>м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К</w:t>
      </w:r>
      <w:r w:rsidR="003B5B4B">
        <w:rPr>
          <w:rFonts w:ascii="Times New Roman" w:hAnsi="Times New Roman" w:cs="Times New Roman"/>
          <w:bCs/>
          <w:sz w:val="28"/>
          <w:szCs w:val="28"/>
        </w:rPr>
        <w:t>оми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2016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4B">
        <w:rPr>
          <w:rFonts w:ascii="Times New Roman" w:hAnsi="Times New Roman" w:cs="Times New Roman"/>
          <w:bCs/>
          <w:sz w:val="28"/>
          <w:szCs w:val="28"/>
        </w:rPr>
        <w:t>№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268</w:t>
      </w:r>
      <w:r w:rsidR="003B5B4B">
        <w:rPr>
          <w:rFonts w:ascii="Times New Roman" w:hAnsi="Times New Roman" w:cs="Times New Roman"/>
          <w:bCs/>
          <w:sz w:val="28"/>
          <w:szCs w:val="28"/>
        </w:rPr>
        <w:t>,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подпунктом </w:t>
      </w:r>
      <w:r w:rsidR="004D01F2">
        <w:rPr>
          <w:rFonts w:ascii="Times New Roman" w:hAnsi="Times New Roman" w:cs="Times New Roman"/>
          <w:bCs/>
          <w:sz w:val="28"/>
          <w:szCs w:val="28"/>
        </w:rPr>
        <w:t>1.4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281207">
        <w:rPr>
          <w:rFonts w:ascii="Times New Roman" w:hAnsi="Times New Roman" w:cs="Times New Roman"/>
          <w:bCs/>
          <w:sz w:val="28"/>
          <w:szCs w:val="28"/>
        </w:rPr>
        <w:t>раздела «</w:t>
      </w:r>
      <w:r w:rsidR="004D01F2">
        <w:rPr>
          <w:rFonts w:ascii="Times New Roman" w:hAnsi="Times New Roman" w:cs="Times New Roman"/>
          <w:bCs/>
          <w:sz w:val="28"/>
          <w:szCs w:val="28"/>
        </w:rPr>
        <w:t>Систем</w:t>
      </w:r>
      <w:r w:rsidR="00281207">
        <w:rPr>
          <w:rFonts w:ascii="Times New Roman" w:hAnsi="Times New Roman" w:cs="Times New Roman"/>
          <w:bCs/>
          <w:sz w:val="28"/>
          <w:szCs w:val="28"/>
        </w:rPr>
        <w:t>а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 програм</w:t>
      </w:r>
      <w:r w:rsidR="004D01F2" w:rsidRPr="00800CF6">
        <w:rPr>
          <w:rFonts w:ascii="Times New Roman" w:hAnsi="Times New Roman" w:cs="Times New Roman"/>
          <w:bCs/>
          <w:sz w:val="28"/>
          <w:szCs w:val="28"/>
        </w:rPr>
        <w:t>м</w:t>
      </w:r>
      <w:r w:rsidR="00580EC2" w:rsidRPr="00800CF6">
        <w:rPr>
          <w:rFonts w:ascii="Times New Roman" w:hAnsi="Times New Roman" w:cs="Times New Roman"/>
          <w:bCs/>
          <w:sz w:val="28"/>
          <w:szCs w:val="28"/>
        </w:rPr>
        <w:t>ных</w:t>
      </w:r>
      <w:r w:rsidR="0058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281207">
        <w:rPr>
          <w:rFonts w:ascii="Times New Roman" w:hAnsi="Times New Roman" w:cs="Times New Roman"/>
          <w:bCs/>
          <w:sz w:val="28"/>
          <w:szCs w:val="28"/>
        </w:rPr>
        <w:t>» в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едомственной программы </w:t>
      </w:r>
      <w:r w:rsidR="00281207">
        <w:rPr>
          <w:rFonts w:ascii="Times New Roman" w:hAnsi="Times New Roman" w:cs="Times New Roman"/>
          <w:bCs/>
          <w:sz w:val="28"/>
          <w:szCs w:val="28"/>
        </w:rPr>
        <w:t>«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Противодействие коррупции в Администрации Главы Рес</w:t>
      </w:r>
      <w:r w:rsidR="00281207">
        <w:rPr>
          <w:rFonts w:ascii="Times New Roman" w:hAnsi="Times New Roman" w:cs="Times New Roman"/>
          <w:bCs/>
          <w:sz w:val="28"/>
          <w:szCs w:val="28"/>
        </w:rPr>
        <w:t>публики Коми</w:t>
      </w:r>
      <w:proofErr w:type="gramEnd"/>
      <w:r w:rsidR="0028120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281207">
        <w:rPr>
          <w:rFonts w:ascii="Times New Roman" w:hAnsi="Times New Roman" w:cs="Times New Roman"/>
          <w:bCs/>
          <w:sz w:val="28"/>
          <w:szCs w:val="28"/>
        </w:rPr>
        <w:t xml:space="preserve">2016 - 2020 годы)»,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25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2016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№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79-р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2BA1">
        <w:rPr>
          <w:rFonts w:ascii="Times New Roman" w:hAnsi="Times New Roman" w:cs="Times New Roman"/>
          <w:bCs/>
          <w:sz w:val="28"/>
          <w:szCs w:val="28"/>
        </w:rPr>
        <w:t>Администрацией осуществлен мониторинг результатов антикоррупционной экспертизы нормативных правовых актов Главы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 Администрации Главы Республики Коми</w:t>
      </w:r>
      <w:r w:rsidR="000B3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E2BA1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(далее – мониторинг)</w:t>
      </w:r>
      <w:r w:rsidR="003E2BA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4473C" w:rsidRDefault="0015481B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Мониторингу подверглись </w:t>
      </w:r>
      <w:r w:rsidR="0054473C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проведенной антикоррупционной экспертизы нормативных правовых актов (их проектов), отраженные в заключениях, </w:t>
      </w:r>
      <w:r w:rsidR="0054473C">
        <w:rPr>
          <w:rFonts w:ascii="Times New Roman" w:hAnsi="Times New Roman" w:cs="Times New Roman"/>
          <w:bCs/>
          <w:sz w:val="28"/>
          <w:szCs w:val="28"/>
        </w:rPr>
        <w:lastRenderedPageBreak/>
        <w:t>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результаты проведенной антикоррупционной экспертизы проектов нормативных правовых актов, не отраженные в заключениях в связи с тем, что выявленные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факторы были устранены на стадии работы над этими проектами.</w:t>
      </w:r>
    </w:p>
    <w:p w:rsidR="0094668F" w:rsidRPr="0094668F" w:rsidRDefault="0094668F" w:rsidP="000B0984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результатов антикоррупционн</w:t>
      </w:r>
      <w:r w:rsidR="006B49D2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эксперти</w:t>
      </w:r>
      <w:r w:rsidR="006B49D2">
        <w:rPr>
          <w:rFonts w:ascii="Times New Roman" w:eastAsia="Calibri" w:hAnsi="Times New Roman" w:cs="Times New Roman"/>
          <w:sz w:val="28"/>
          <w:szCs w:val="28"/>
        </w:rPr>
        <w:t>з,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9D2">
        <w:rPr>
          <w:rFonts w:ascii="Times New Roman" w:eastAsia="Calibri" w:hAnsi="Times New Roman" w:cs="Times New Roman"/>
          <w:sz w:val="28"/>
          <w:szCs w:val="28"/>
        </w:rPr>
        <w:t>проведенных Администрацией в отношении</w:t>
      </w:r>
      <w:r w:rsidR="006B49D2"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t xml:space="preserve">За период с 1 января 2017 г. по 30 июня 2017 г. </w:t>
      </w:r>
      <w:r w:rsidR="005F540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в отношении 19 нормативных правовых актов. 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t>Для сравнения</w:t>
      </w:r>
      <w:r w:rsidR="005F5407">
        <w:rPr>
          <w:rFonts w:ascii="Times New Roman" w:hAnsi="Times New Roman" w:cs="Times New Roman"/>
          <w:bCs/>
          <w:sz w:val="28"/>
          <w:szCs w:val="28"/>
        </w:rPr>
        <w:t>: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во II полугодии 2016 г.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</w:t>
      </w:r>
      <w:r w:rsidR="005F5407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>в отношении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10 нормативных правовых актов; в I полугодии 2016 г. – 21 нормативн</w:t>
      </w:r>
      <w:r w:rsidR="005F5407">
        <w:rPr>
          <w:rFonts w:ascii="Times New Roman" w:hAnsi="Times New Roman" w:cs="Times New Roman"/>
          <w:bCs/>
          <w:sz w:val="28"/>
          <w:szCs w:val="28"/>
        </w:rPr>
        <w:t>ого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правово</w:t>
      </w:r>
      <w:r w:rsidR="005F5407">
        <w:rPr>
          <w:rFonts w:ascii="Times New Roman" w:hAnsi="Times New Roman" w:cs="Times New Roman"/>
          <w:bCs/>
          <w:sz w:val="28"/>
          <w:szCs w:val="28"/>
        </w:rPr>
        <w:t>го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5F5407">
        <w:rPr>
          <w:rFonts w:ascii="Times New Roman" w:hAnsi="Times New Roman" w:cs="Times New Roman"/>
          <w:bCs/>
          <w:sz w:val="28"/>
          <w:szCs w:val="28"/>
        </w:rPr>
        <w:t>а</w:t>
      </w:r>
      <w:r w:rsidRPr="0054473C">
        <w:rPr>
          <w:rFonts w:ascii="Times New Roman" w:hAnsi="Times New Roman" w:cs="Times New Roman"/>
          <w:bCs/>
          <w:sz w:val="28"/>
          <w:szCs w:val="28"/>
        </w:rPr>
        <w:t>; во II полугодии 2015 г. – 18 нормативных правовых актов; в I полугодии 2015 г. – 32 нормативных правовых акт</w:t>
      </w:r>
      <w:r w:rsidR="005F5407">
        <w:rPr>
          <w:rFonts w:ascii="Times New Roman" w:hAnsi="Times New Roman" w:cs="Times New Roman"/>
          <w:bCs/>
          <w:sz w:val="28"/>
          <w:szCs w:val="28"/>
        </w:rPr>
        <w:t>ов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473C" w:rsidRDefault="005F540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аключения о результата</w:t>
      </w:r>
      <w:r w:rsidR="00095F9D">
        <w:rPr>
          <w:rFonts w:ascii="Times New Roman" w:hAnsi="Times New Roman" w:cs="Times New Roman"/>
          <w:bCs/>
          <w:sz w:val="28"/>
          <w:szCs w:val="28"/>
        </w:rPr>
        <w:t>х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с указанием на наличие в рассмотренных актах </w:t>
      </w:r>
      <w:proofErr w:type="spellStart"/>
      <w:r w:rsidR="0054473C" w:rsidRPr="0054473C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факторов составлены в отношении 2 нормативных правовых актов (для сравнения: во II полугодии 2016 г.– 3 нормативных правовых актов, в I полугодии 2016 г. – 4 нормативных правовых актов, во II полугодии 2015 г.– 7 нормативных правовых актов, в I полугодии 2015 г. – 11 нормативных правовых актов).</w:t>
      </w:r>
      <w:proofErr w:type="gramEnd"/>
    </w:p>
    <w:p w:rsidR="00095F9D" w:rsidRDefault="00095F9D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Указанные заключения, направленные Администрацией в адрес соответствующих органов исполнительной власти Республики Коми, данными органами рассмотрены</w:t>
      </w:r>
      <w:r w:rsidRPr="00E20D5E">
        <w:rPr>
          <w:rFonts w:ascii="Times New Roman" w:eastAsia="Calibri" w:hAnsi="Times New Roman" w:cs="Times New Roman"/>
          <w:sz w:val="28"/>
          <w:szCs w:val="28"/>
        </w:rPr>
        <w:t xml:space="preserve">. Согласно полученной информации в настоящее время ведется работа по устранению выявленных </w:t>
      </w:r>
      <w:proofErr w:type="spellStart"/>
      <w:r w:rsidRPr="00E20D5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20D5E">
        <w:rPr>
          <w:rFonts w:ascii="Times New Roman" w:eastAsia="Calibri" w:hAnsi="Times New Roman" w:cs="Times New Roman"/>
          <w:sz w:val="28"/>
          <w:szCs w:val="28"/>
        </w:rPr>
        <w:t xml:space="preserve"> факторов посредством разработки и внесения в установленном порядке на рассмотрение Правительству Республики Коми проектов нормативных правовых актов о внесении изменений в акты, содержащие </w:t>
      </w:r>
      <w:proofErr w:type="spellStart"/>
      <w:r w:rsidRPr="00E20D5E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E20D5E">
        <w:rPr>
          <w:rFonts w:ascii="Times New Roman" w:eastAsia="Calibri" w:hAnsi="Times New Roman" w:cs="Times New Roman"/>
          <w:sz w:val="28"/>
          <w:szCs w:val="28"/>
        </w:rPr>
        <w:t xml:space="preserve"> нормы.</w:t>
      </w:r>
    </w:p>
    <w:p w:rsidR="007E53ED" w:rsidRPr="0094668F" w:rsidRDefault="007E53ED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4668F">
        <w:rPr>
          <w:rFonts w:ascii="Times New Roman" w:hAnsi="Times New Roman" w:cs="Times New Roman"/>
          <w:bCs/>
          <w:sz w:val="28"/>
          <w:szCs w:val="28"/>
        </w:rPr>
        <w:t>Всего за</w:t>
      </w:r>
      <w:r w:rsidR="0054473C">
        <w:rPr>
          <w:rFonts w:ascii="Times New Roman" w:hAnsi="Times New Roman" w:cs="Times New Roman"/>
          <w:bCs/>
          <w:sz w:val="28"/>
          <w:szCs w:val="28"/>
        </w:rPr>
        <w:t xml:space="preserve"> отчетный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период в нормативных правовых актах, в отношении которых Администрацией проведена антикоррупционная экспертиза, выявлено </w:t>
      </w:r>
      <w:r w:rsidR="00E94BD2" w:rsidRPr="0094668F">
        <w:rPr>
          <w:rFonts w:ascii="Times New Roman" w:hAnsi="Times New Roman" w:cs="Times New Roman"/>
          <w:bCs/>
          <w:sz w:val="28"/>
          <w:szCs w:val="28"/>
        </w:rPr>
        <w:t>12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668F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94668F">
        <w:rPr>
          <w:rFonts w:ascii="Times New Roman" w:hAnsi="Times New Roman" w:cs="Times New Roman"/>
          <w:bCs/>
          <w:sz w:val="28"/>
          <w:szCs w:val="28"/>
        </w:rPr>
        <w:t xml:space="preserve"> фактор</w:t>
      </w:r>
      <w:r w:rsidR="00232908" w:rsidRPr="0094668F">
        <w:rPr>
          <w:rFonts w:ascii="Times New Roman" w:hAnsi="Times New Roman" w:cs="Times New Roman"/>
          <w:bCs/>
          <w:sz w:val="28"/>
          <w:szCs w:val="28"/>
        </w:rPr>
        <w:t>ов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94BD2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E94BD2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94BD2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2016 г. – 7, </w:t>
      </w:r>
      <w:r w:rsidR="00E81C30" w:rsidRPr="009466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81C30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81C30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2016 г. – 18, 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2015 г. </w:t>
      </w:r>
      <w:r w:rsidR="00AC7853" w:rsidRPr="0094668F">
        <w:rPr>
          <w:rFonts w:ascii="Times New Roman" w:hAnsi="Times New Roman" w:cs="Times New Roman"/>
          <w:bCs/>
          <w:sz w:val="28"/>
          <w:szCs w:val="28"/>
        </w:rPr>
        <w:t>–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10, в </w:t>
      </w:r>
      <w:r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2096C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2015 г. – 23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06889" w:rsidRDefault="00B76F06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проведения антикоррупционной экспертизы </w:t>
      </w:r>
      <w:r w:rsidR="00AC7853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AC7853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proofErr w:type="spellStart"/>
      <w:r w:rsidR="00565D6C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565D6C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>ы</w:t>
      </w:r>
      <w:r w:rsidR="00406889" w:rsidRPr="007E53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186C" w:rsidRDefault="0093186C" w:rsidP="000B0984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3458">
        <w:rPr>
          <w:rFonts w:ascii="Times New Roman" w:eastAsia="Calibri" w:hAnsi="Times New Roman" w:cs="Times New Roman"/>
          <w:sz w:val="28"/>
          <w:szCs w:val="28"/>
          <w:u w:val="single"/>
        </w:rPr>
        <w:t>наличие завышенных требований к лицу, предъявляемых для реализации принадлежащего ему права,</w:t>
      </w:r>
      <w:r w:rsidRPr="00FF1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F1BF5">
        <w:rPr>
          <w:rFonts w:ascii="Times New Roman" w:eastAsia="Calibri" w:hAnsi="Times New Roman" w:cs="Times New Roman"/>
          <w:sz w:val="28"/>
          <w:szCs w:val="28"/>
        </w:rPr>
        <w:t xml:space="preserve"> установление неопределенных, трудновыполнимых и обременительных требований к гражданам и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86C" w:rsidRDefault="0093186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F57F2">
        <w:rPr>
          <w:rFonts w:ascii="Times New Roman" w:eastAsia="Calibri" w:hAnsi="Times New Roman" w:cs="Times New Roman"/>
          <w:sz w:val="28"/>
          <w:szCs w:val="28"/>
        </w:rPr>
        <w:t xml:space="preserve"> I полугодии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57F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AD27ED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антикоррупционной экспертизы </w:t>
      </w:r>
      <w:r w:rsidRPr="000F57F2">
        <w:rPr>
          <w:rFonts w:ascii="Times New Roman" w:eastAsia="Calibri" w:hAnsi="Times New Roman" w:cs="Times New Roman"/>
          <w:sz w:val="28"/>
          <w:szCs w:val="28"/>
        </w:rPr>
        <w:t>выявлен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F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F57F2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0F57F2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1D7A0D">
        <w:rPr>
          <w:rFonts w:ascii="Times New Roman" w:eastAsia="Calibri" w:hAnsi="Times New Roman" w:cs="Times New Roman"/>
          <w:sz w:val="28"/>
          <w:szCs w:val="28"/>
        </w:rPr>
        <w:t>ов</w:t>
      </w:r>
      <w:r w:rsidRPr="000F5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0D7" w:rsidRPr="007870D7" w:rsidRDefault="0093186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</w:t>
      </w:r>
      <w:r w:rsidR="007870D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870D7" w:rsidRPr="007870D7">
        <w:rPr>
          <w:rFonts w:ascii="Times New Roman" w:eastAsia="Calibri" w:hAnsi="Times New Roman" w:cs="Times New Roman"/>
          <w:sz w:val="28"/>
          <w:szCs w:val="28"/>
        </w:rPr>
        <w:t xml:space="preserve">огласно </w:t>
      </w:r>
      <w:r w:rsidR="00272386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92504B">
        <w:rPr>
          <w:rFonts w:ascii="Times New Roman" w:eastAsia="Calibri" w:hAnsi="Times New Roman" w:cs="Times New Roman"/>
          <w:sz w:val="28"/>
          <w:szCs w:val="28"/>
        </w:rPr>
        <w:t>ю</w:t>
      </w:r>
      <w:r w:rsidR="007870D7" w:rsidRPr="007870D7">
        <w:rPr>
          <w:rFonts w:ascii="Times New Roman" w:eastAsia="Calibri" w:hAnsi="Times New Roman" w:cs="Times New Roman"/>
          <w:sz w:val="28"/>
          <w:szCs w:val="28"/>
        </w:rPr>
        <w:t xml:space="preserve"> Порядка в течение 5 рабочих дней со дня проведения обследования жилищно-бытовых условий жизни гражданина орган направляет в адрес гражданина письменные запросы о </w:t>
      </w:r>
      <w:proofErr w:type="gramStart"/>
      <w:r w:rsidR="007870D7" w:rsidRPr="00800CF6">
        <w:rPr>
          <w:rFonts w:ascii="Times New Roman" w:eastAsia="Calibri" w:hAnsi="Times New Roman" w:cs="Times New Roman"/>
          <w:sz w:val="28"/>
          <w:szCs w:val="28"/>
        </w:rPr>
        <w:t>представлении</w:t>
      </w:r>
      <w:proofErr w:type="gramEnd"/>
      <w:r w:rsidR="007870D7" w:rsidRPr="00800CF6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 w:rsidR="007870D7" w:rsidRPr="007870D7">
        <w:rPr>
          <w:rFonts w:ascii="Times New Roman" w:eastAsia="Calibri" w:hAnsi="Times New Roman" w:cs="Times New Roman"/>
          <w:sz w:val="28"/>
          <w:szCs w:val="28"/>
        </w:rPr>
        <w:t xml:space="preserve"> справки с места жительства о составе семьи и лицах, зарегистрированных в жилом </w:t>
      </w:r>
      <w:r w:rsidR="007870D7" w:rsidRPr="007870D7">
        <w:rPr>
          <w:rFonts w:ascii="Times New Roman" w:eastAsia="Calibri" w:hAnsi="Times New Roman" w:cs="Times New Roman"/>
          <w:sz w:val="28"/>
          <w:szCs w:val="28"/>
        </w:rPr>
        <w:lastRenderedPageBreak/>
        <w:t>помещении. Указанный документ представляется гражданином или его законным представителем в орган самостоятельно в течение 20 рабочих дней со дня поступления запроса органа.</w:t>
      </w:r>
    </w:p>
    <w:p w:rsidR="007870D7" w:rsidRPr="007870D7" w:rsidRDefault="007870D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 </w:t>
      </w:r>
      <w:r w:rsidR="000344B7" w:rsidRPr="007870D7">
        <w:rPr>
          <w:rFonts w:ascii="Times New Roman" w:eastAsia="Calibri" w:hAnsi="Times New Roman" w:cs="Times New Roman"/>
          <w:sz w:val="28"/>
          <w:szCs w:val="28"/>
        </w:rPr>
        <w:t>справк</w:t>
      </w:r>
      <w:r w:rsidR="000344B7">
        <w:rPr>
          <w:rFonts w:ascii="Times New Roman" w:eastAsia="Calibri" w:hAnsi="Times New Roman" w:cs="Times New Roman"/>
          <w:sz w:val="28"/>
          <w:szCs w:val="28"/>
        </w:rPr>
        <w:t>а</w:t>
      </w:r>
      <w:r w:rsidR="000344B7" w:rsidRPr="007870D7">
        <w:rPr>
          <w:rFonts w:ascii="Times New Roman" w:eastAsia="Calibri" w:hAnsi="Times New Roman" w:cs="Times New Roman"/>
          <w:sz w:val="28"/>
          <w:szCs w:val="28"/>
        </w:rPr>
        <w:t xml:space="preserve"> с места жительства о составе семьи и лицах, зарегистрированных в жилом помещении</w:t>
      </w:r>
      <w:r w:rsidR="000344B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быть получен</w:t>
      </w:r>
      <w:r w:rsidR="000344B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органом самостоятельно в порядке межведомственного информационного взаимодействия.</w:t>
      </w:r>
    </w:p>
    <w:p w:rsidR="0093186C" w:rsidRDefault="007870D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870D7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5F5407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5FA">
        <w:rPr>
          <w:rFonts w:ascii="Times New Roman" w:eastAsia="Calibri" w:hAnsi="Times New Roman" w:cs="Times New Roman"/>
          <w:sz w:val="28"/>
          <w:szCs w:val="28"/>
        </w:rPr>
        <w:t>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0D7">
        <w:rPr>
          <w:rFonts w:ascii="Times New Roman" w:eastAsia="Calibri" w:hAnsi="Times New Roman" w:cs="Times New Roman"/>
          <w:sz w:val="28"/>
          <w:szCs w:val="28"/>
        </w:rPr>
        <w:t xml:space="preserve">в той части, которая обязывает гражданина представить </w:t>
      </w:r>
      <w:r w:rsidR="005F5407">
        <w:rPr>
          <w:rFonts w:ascii="Times New Roman" w:eastAsia="Calibri" w:hAnsi="Times New Roman" w:cs="Times New Roman"/>
          <w:sz w:val="28"/>
          <w:szCs w:val="28"/>
        </w:rPr>
        <w:t>указанный</w:t>
      </w:r>
      <w:r w:rsidR="000344B7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787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407" w:rsidRPr="007870D7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5F5407">
        <w:rPr>
          <w:rFonts w:ascii="Times New Roman" w:eastAsia="Calibri" w:hAnsi="Times New Roman" w:cs="Times New Roman"/>
          <w:sz w:val="28"/>
          <w:szCs w:val="28"/>
        </w:rPr>
        <w:t>,</w:t>
      </w:r>
      <w:r w:rsidR="005F5407" w:rsidRPr="00787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содержит обременительные требования</w:t>
      </w:r>
      <w:r w:rsidR="000344B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гражданину, </w:t>
      </w:r>
      <w:r w:rsidR="000344B7">
        <w:rPr>
          <w:rFonts w:ascii="Times New Roman" w:eastAsia="Calibri" w:hAnsi="Times New Roman" w:cs="Times New Roman"/>
          <w:sz w:val="28"/>
          <w:szCs w:val="28"/>
        </w:rPr>
        <w:t>более того</w:t>
      </w:r>
      <w:r w:rsidR="00580EC2" w:rsidRPr="00800CF6">
        <w:rPr>
          <w:rFonts w:ascii="Times New Roman" w:eastAsia="Calibri" w:hAnsi="Times New Roman" w:cs="Times New Roman"/>
          <w:sz w:val="28"/>
          <w:szCs w:val="28"/>
        </w:rPr>
        <w:t>,</w:t>
      </w:r>
      <w:r w:rsidR="00034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0D7">
        <w:rPr>
          <w:rFonts w:ascii="Times New Roman" w:eastAsia="Calibri" w:hAnsi="Times New Roman" w:cs="Times New Roman"/>
          <w:sz w:val="28"/>
          <w:szCs w:val="28"/>
        </w:rPr>
        <w:t>не согласуется с запретом, установленным пунктом 2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93186C" w:rsidRPr="007E53ED" w:rsidRDefault="0093186C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1BF5">
        <w:rPr>
          <w:rFonts w:ascii="Times New Roman" w:eastAsia="Calibri" w:hAnsi="Times New Roman" w:cs="Times New Roman"/>
          <w:sz w:val="28"/>
          <w:szCs w:val="28"/>
        </w:rPr>
        <w:t>Для сравнения: во II полугодии 2016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407">
        <w:rPr>
          <w:rFonts w:ascii="Times New Roman" w:eastAsia="Calibri" w:hAnsi="Times New Roman" w:cs="Times New Roman"/>
          <w:sz w:val="28"/>
          <w:szCs w:val="28"/>
        </w:rPr>
        <w:t xml:space="preserve">и в I полугодии 2015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такой фактор </w:t>
      </w:r>
      <w:r w:rsidR="00EC57A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не выявлялся</w:t>
      </w:r>
      <w:r w:rsidRPr="00FF1BF5">
        <w:rPr>
          <w:rFonts w:ascii="Times New Roman" w:eastAsia="Calibri" w:hAnsi="Times New Roman" w:cs="Times New Roman"/>
          <w:sz w:val="28"/>
          <w:szCs w:val="28"/>
        </w:rPr>
        <w:t>, в I полугодии 2016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F1BF5">
        <w:rPr>
          <w:rFonts w:ascii="Times New Roman" w:eastAsia="Calibri" w:hAnsi="Times New Roman" w:cs="Times New Roman"/>
          <w:sz w:val="28"/>
          <w:szCs w:val="28"/>
        </w:rPr>
        <w:t>во II полугодии 2015 г.</w:t>
      </w:r>
      <w:r w:rsidR="000B0984">
        <w:rPr>
          <w:rFonts w:ascii="Times New Roman" w:eastAsia="Calibri" w:hAnsi="Times New Roman" w:cs="Times New Roman"/>
          <w:sz w:val="28"/>
          <w:szCs w:val="28"/>
        </w:rPr>
        <w:t xml:space="preserve"> – выявлено по 1 фактору;</w:t>
      </w:r>
    </w:p>
    <w:p w:rsidR="007B315D" w:rsidRDefault="007B315D" w:rsidP="000B0984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19EB">
        <w:rPr>
          <w:rFonts w:ascii="Times New Roman" w:eastAsia="Calibri" w:hAnsi="Times New Roman" w:cs="Times New Roman"/>
          <w:sz w:val="28"/>
          <w:szCs w:val="28"/>
          <w:u w:val="single"/>
        </w:rPr>
        <w:t>широта дискреционных полномочий</w:t>
      </w:r>
      <w:r w:rsidRPr="00BE19EB">
        <w:rPr>
          <w:rFonts w:ascii="Times New Roman" w:eastAsia="Calibri" w:hAnsi="Times New Roman" w:cs="Times New Roman"/>
          <w:sz w:val="28"/>
          <w:szCs w:val="28"/>
        </w:rPr>
        <w:t xml:space="preserve"> –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E19EB">
        <w:rPr>
          <w:rFonts w:ascii="Times New Roman" w:eastAsia="Calibri" w:hAnsi="Times New Roman" w:cs="Times New Roman"/>
          <w:sz w:val="28"/>
          <w:szCs w:val="28"/>
        </w:rPr>
        <w:t xml:space="preserve"> должностных лиц)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D17" w:rsidRDefault="00B55D17" w:rsidP="000B0984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D27ED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Pr="00820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7ED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антикоррупционной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="0038182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38182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023C" w:rsidRDefault="007B315D" w:rsidP="000B0984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23C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7F023C" w:rsidRPr="00374888">
        <w:rPr>
          <w:rFonts w:ascii="Times New Roman" w:hAnsi="Times New Roman" w:cs="Times New Roman"/>
          <w:bCs/>
          <w:sz w:val="28"/>
          <w:szCs w:val="28"/>
        </w:rPr>
        <w:t>Порядк</w:t>
      </w:r>
      <w:r w:rsidR="007F023C">
        <w:rPr>
          <w:rFonts w:ascii="Times New Roman" w:hAnsi="Times New Roman" w:cs="Times New Roman"/>
          <w:bCs/>
          <w:sz w:val="28"/>
          <w:szCs w:val="28"/>
        </w:rPr>
        <w:t>ом</w:t>
      </w:r>
      <w:r w:rsidR="007F023C" w:rsidRPr="00374888">
        <w:rPr>
          <w:rFonts w:ascii="Times New Roman" w:hAnsi="Times New Roman" w:cs="Times New Roman"/>
          <w:bCs/>
          <w:sz w:val="28"/>
          <w:szCs w:val="28"/>
        </w:rPr>
        <w:t xml:space="preserve"> формирования органами местного самоуправления </w:t>
      </w:r>
      <w:r w:rsidR="007F023C">
        <w:rPr>
          <w:rFonts w:ascii="Times New Roman" w:hAnsi="Times New Roman" w:cs="Times New Roman"/>
          <w:bCs/>
          <w:sz w:val="28"/>
          <w:szCs w:val="28"/>
        </w:rPr>
        <w:t xml:space="preserve">списков граждан предусмотрена возможность </w:t>
      </w:r>
      <w:r w:rsidR="00AD27ED" w:rsidRPr="00AD27E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D27ED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="00AD27ED" w:rsidRPr="00AD27ED">
        <w:rPr>
          <w:rFonts w:ascii="Times New Roman" w:hAnsi="Times New Roman" w:cs="Times New Roman"/>
          <w:bCs/>
          <w:sz w:val="28"/>
          <w:szCs w:val="28"/>
        </w:rPr>
        <w:t xml:space="preserve"> случаях </w:t>
      </w:r>
      <w:r w:rsidR="00AD27ED">
        <w:rPr>
          <w:rFonts w:ascii="Times New Roman" w:hAnsi="Times New Roman" w:cs="Times New Roman"/>
          <w:bCs/>
          <w:sz w:val="28"/>
          <w:szCs w:val="28"/>
        </w:rPr>
        <w:t>вносить</w:t>
      </w:r>
      <w:r w:rsidR="007F023C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AD27ED">
        <w:rPr>
          <w:rFonts w:ascii="Times New Roman" w:hAnsi="Times New Roman" w:cs="Times New Roman"/>
          <w:bCs/>
          <w:sz w:val="28"/>
          <w:szCs w:val="28"/>
        </w:rPr>
        <w:t>я</w:t>
      </w:r>
      <w:r w:rsidR="007F023C">
        <w:rPr>
          <w:rFonts w:ascii="Times New Roman" w:hAnsi="Times New Roman" w:cs="Times New Roman"/>
          <w:bCs/>
          <w:sz w:val="28"/>
          <w:szCs w:val="28"/>
        </w:rPr>
        <w:t xml:space="preserve"> в данный список.</w:t>
      </w:r>
      <w:r w:rsidR="007F023C" w:rsidRPr="003748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023C" w:rsidRDefault="007F023C" w:rsidP="000B098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 сроки внесения </w:t>
      </w:r>
      <w:r w:rsidRPr="00C87367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сп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сок граждан не установлены.</w:t>
      </w:r>
    </w:p>
    <w:p w:rsidR="00867323" w:rsidRDefault="007E53ED" w:rsidP="000B0984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53ED">
        <w:rPr>
          <w:rFonts w:ascii="Times New Roman" w:eastAsia="Calibri" w:hAnsi="Times New Roman" w:cs="Times New Roman"/>
          <w:sz w:val="28"/>
          <w:szCs w:val="28"/>
        </w:rPr>
        <w:t xml:space="preserve">Для сравнения: 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>во II полугодии 201</w:t>
      </w:r>
      <w:r w:rsidR="00E94BD2">
        <w:rPr>
          <w:rFonts w:ascii="Times New Roman" w:eastAsia="Calibri" w:hAnsi="Times New Roman" w:cs="Times New Roman"/>
          <w:sz w:val="28"/>
          <w:szCs w:val="28"/>
        </w:rPr>
        <w:t>6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E94BD2">
        <w:rPr>
          <w:rFonts w:ascii="Times New Roman" w:eastAsia="Calibri" w:hAnsi="Times New Roman" w:cs="Times New Roman"/>
          <w:sz w:val="28"/>
          <w:szCs w:val="28"/>
        </w:rPr>
        <w:t>–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BD2">
        <w:rPr>
          <w:rFonts w:ascii="Times New Roman" w:eastAsia="Calibri" w:hAnsi="Times New Roman" w:cs="Times New Roman"/>
          <w:sz w:val="28"/>
          <w:szCs w:val="28"/>
        </w:rPr>
        <w:t>2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E94BD2">
        <w:rPr>
          <w:rFonts w:ascii="Times New Roman" w:eastAsia="Calibri" w:hAnsi="Times New Roman" w:cs="Times New Roman"/>
          <w:sz w:val="28"/>
          <w:szCs w:val="28"/>
        </w:rPr>
        <w:t>а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18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8182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81828">
        <w:rPr>
          <w:rFonts w:ascii="Times New Roman" w:eastAsia="Calibri" w:hAnsi="Times New Roman" w:cs="Times New Roman"/>
          <w:sz w:val="28"/>
          <w:szCs w:val="28"/>
        </w:rPr>
        <w:t xml:space="preserve"> полугодии 2016 г.</w:t>
      </w:r>
      <w:r w:rsidR="00381828" w:rsidRPr="00820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828">
        <w:rPr>
          <w:rFonts w:ascii="Times New Roman" w:eastAsia="Calibri" w:hAnsi="Times New Roman" w:cs="Times New Roman"/>
          <w:sz w:val="28"/>
          <w:szCs w:val="28"/>
        </w:rPr>
        <w:t>выявлено 9 факторов,</w:t>
      </w:r>
      <w:r w:rsidR="00381828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3ED">
        <w:rPr>
          <w:rFonts w:ascii="Times New Roman" w:eastAsia="Calibri" w:hAnsi="Times New Roman" w:cs="Times New Roman"/>
          <w:sz w:val="28"/>
          <w:szCs w:val="28"/>
        </w:rPr>
        <w:t xml:space="preserve">во II полугодии 2015 г. </w:t>
      </w:r>
      <w:r w:rsidR="00381828">
        <w:rPr>
          <w:rFonts w:ascii="Times New Roman" w:eastAsia="Calibri" w:hAnsi="Times New Roman" w:cs="Times New Roman"/>
          <w:sz w:val="28"/>
          <w:szCs w:val="28"/>
        </w:rPr>
        <w:t>–</w:t>
      </w:r>
      <w:r w:rsidRPr="007E53ED">
        <w:rPr>
          <w:rFonts w:ascii="Times New Roman" w:eastAsia="Calibri" w:hAnsi="Times New Roman" w:cs="Times New Roman"/>
          <w:sz w:val="28"/>
          <w:szCs w:val="28"/>
        </w:rPr>
        <w:t xml:space="preserve"> 1 фактор, в I </w:t>
      </w:r>
      <w:r w:rsidR="00D2096C">
        <w:rPr>
          <w:rFonts w:ascii="Times New Roman" w:eastAsia="Calibri" w:hAnsi="Times New Roman" w:cs="Times New Roman"/>
          <w:sz w:val="28"/>
          <w:szCs w:val="28"/>
        </w:rPr>
        <w:t>полугодии 2015 г. – 11 факторов</w:t>
      </w:r>
      <w:r w:rsidR="000B09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5288" w:rsidRPr="001F5D1D" w:rsidRDefault="00A3750D" w:rsidP="000B0984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  <w:u w:val="single"/>
        </w:rPr>
        <w:t>отсутствие или неполнота административных процедур</w:t>
      </w:r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</w:t>
      </w:r>
      <w:r w:rsidR="004620BB" w:rsidRPr="001F5D1D">
        <w:rPr>
          <w:rFonts w:ascii="Times New Roman" w:eastAsia="Calibri" w:hAnsi="Times New Roman" w:cs="Times New Roman"/>
          <w:sz w:val="28"/>
          <w:szCs w:val="28"/>
        </w:rPr>
        <w:t xml:space="preserve">го из элементов такого порядка. </w:t>
      </w:r>
    </w:p>
    <w:p w:rsidR="00B55D17" w:rsidRDefault="00144C94" w:rsidP="000B0984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</w:t>
      </w:r>
      <w:r w:rsidR="00B55D17" w:rsidRPr="00976174">
        <w:rPr>
          <w:rFonts w:ascii="Times New Roman" w:eastAsia="Calibri" w:hAnsi="Times New Roman" w:cs="Times New Roman"/>
          <w:sz w:val="28"/>
          <w:szCs w:val="28"/>
        </w:rPr>
        <w:t>201</w:t>
      </w:r>
      <w:r w:rsidR="00AD27ED">
        <w:rPr>
          <w:rFonts w:ascii="Times New Roman" w:eastAsia="Calibri" w:hAnsi="Times New Roman" w:cs="Times New Roman"/>
          <w:sz w:val="28"/>
          <w:szCs w:val="28"/>
        </w:rPr>
        <w:t>7</w:t>
      </w:r>
      <w:r w:rsidR="00B55D1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AD27ED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антикоррупционной экспертизы </w:t>
      </w:r>
      <w:r w:rsidR="00B55D17"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="002353E6">
        <w:rPr>
          <w:rFonts w:ascii="Times New Roman" w:eastAsia="Calibri" w:hAnsi="Times New Roman" w:cs="Times New Roman"/>
          <w:sz w:val="28"/>
          <w:szCs w:val="28"/>
        </w:rPr>
        <w:t>3</w:t>
      </w:r>
      <w:r w:rsidR="00B55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55D17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="00B55D17">
        <w:rPr>
          <w:rFonts w:ascii="Times New Roman" w:eastAsia="Calibri" w:hAnsi="Times New Roman" w:cs="Times New Roman"/>
          <w:sz w:val="28"/>
          <w:szCs w:val="28"/>
        </w:rPr>
        <w:t xml:space="preserve"> фактора. </w:t>
      </w:r>
    </w:p>
    <w:p w:rsidR="00493F8B" w:rsidRDefault="001F5D1D" w:rsidP="000B0984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3F8B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493F8B">
        <w:rPr>
          <w:rFonts w:ascii="Times New Roman" w:eastAsia="Calibri" w:hAnsi="Times New Roman" w:cs="Times New Roman"/>
          <w:sz w:val="28"/>
          <w:szCs w:val="28"/>
        </w:rPr>
        <w:t>нормативным правовым акто</w:t>
      </w:r>
      <w:r w:rsidR="005D1793">
        <w:rPr>
          <w:rFonts w:ascii="Times New Roman" w:eastAsia="Calibri" w:hAnsi="Times New Roman" w:cs="Times New Roman"/>
          <w:sz w:val="28"/>
          <w:szCs w:val="28"/>
        </w:rPr>
        <w:t>м</w:t>
      </w:r>
      <w:r w:rsidR="00493F8B">
        <w:rPr>
          <w:rFonts w:ascii="Times New Roman" w:eastAsia="Calibri" w:hAnsi="Times New Roman" w:cs="Times New Roman"/>
          <w:sz w:val="28"/>
          <w:szCs w:val="28"/>
        </w:rPr>
        <w:t xml:space="preserve"> установлен перечень документов</w:t>
      </w:r>
      <w:r w:rsidR="00580EC2" w:rsidRPr="00800CF6">
        <w:rPr>
          <w:rFonts w:ascii="Times New Roman" w:eastAsia="Calibri" w:hAnsi="Times New Roman" w:cs="Times New Roman"/>
          <w:sz w:val="28"/>
          <w:szCs w:val="28"/>
        </w:rPr>
        <w:t>,</w:t>
      </w:r>
      <w:r w:rsidR="00493F8B">
        <w:rPr>
          <w:rFonts w:ascii="Times New Roman" w:eastAsia="Calibri" w:hAnsi="Times New Roman" w:cs="Times New Roman"/>
          <w:sz w:val="28"/>
          <w:szCs w:val="28"/>
        </w:rPr>
        <w:t xml:space="preserve"> необходимый для предоставления государственной услуги</w:t>
      </w:r>
      <w:r w:rsidR="005D1793">
        <w:rPr>
          <w:rFonts w:ascii="Times New Roman" w:eastAsia="Calibri" w:hAnsi="Times New Roman" w:cs="Times New Roman"/>
          <w:sz w:val="28"/>
          <w:szCs w:val="28"/>
        </w:rPr>
        <w:t xml:space="preserve"> заявителю</w:t>
      </w:r>
      <w:r w:rsidR="00493F8B">
        <w:rPr>
          <w:rFonts w:ascii="Times New Roman" w:eastAsia="Calibri" w:hAnsi="Times New Roman" w:cs="Times New Roman"/>
          <w:sz w:val="28"/>
          <w:szCs w:val="28"/>
        </w:rPr>
        <w:t xml:space="preserve">. При этом </w:t>
      </w:r>
      <w:r w:rsidR="005D1793">
        <w:rPr>
          <w:rFonts w:ascii="Times New Roman" w:hAnsi="Times New Roman" w:cs="Times New Roman"/>
          <w:bCs/>
          <w:sz w:val="28"/>
          <w:szCs w:val="28"/>
        </w:rPr>
        <w:t>в отношении отдельных документов</w:t>
      </w:r>
      <w:r w:rsidR="0049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F8B" w:rsidRPr="005D1793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5D1793" w:rsidRPr="005D1793">
        <w:rPr>
          <w:rFonts w:ascii="Times New Roman" w:hAnsi="Times New Roman" w:cs="Times New Roman"/>
          <w:bCs/>
          <w:sz w:val="28"/>
          <w:szCs w:val="28"/>
        </w:rPr>
        <w:t>установлена процедура и</w:t>
      </w:r>
      <w:r w:rsidR="005D1793">
        <w:rPr>
          <w:rFonts w:ascii="Times New Roman" w:hAnsi="Times New Roman" w:cs="Times New Roman"/>
          <w:bCs/>
          <w:sz w:val="28"/>
          <w:szCs w:val="28"/>
        </w:rPr>
        <w:t>х</w:t>
      </w:r>
      <w:r w:rsidR="005D1793" w:rsidRPr="005D1793">
        <w:rPr>
          <w:rFonts w:ascii="Times New Roman" w:hAnsi="Times New Roman" w:cs="Times New Roman"/>
          <w:bCs/>
          <w:sz w:val="28"/>
          <w:szCs w:val="28"/>
        </w:rPr>
        <w:t xml:space="preserve"> представления</w:t>
      </w:r>
      <w:r w:rsidR="005D17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1793" w:rsidRPr="00800CF6">
        <w:rPr>
          <w:rFonts w:ascii="Times New Roman" w:hAnsi="Times New Roman" w:cs="Times New Roman"/>
          <w:bCs/>
          <w:sz w:val="28"/>
          <w:szCs w:val="28"/>
        </w:rPr>
        <w:t>не</w:t>
      </w:r>
      <w:r w:rsidR="00580EC2" w:rsidRPr="00580EC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5D1793" w:rsidRPr="00800CF6">
        <w:rPr>
          <w:rFonts w:ascii="Times New Roman" w:hAnsi="Times New Roman" w:cs="Times New Roman"/>
          <w:bCs/>
          <w:sz w:val="28"/>
          <w:szCs w:val="28"/>
        </w:rPr>
        <w:t>ясно</w:t>
      </w:r>
      <w:r w:rsidR="00580EC2" w:rsidRPr="00800CF6">
        <w:rPr>
          <w:rFonts w:ascii="Times New Roman" w:hAnsi="Times New Roman" w:cs="Times New Roman"/>
          <w:bCs/>
          <w:sz w:val="28"/>
          <w:szCs w:val="28"/>
        </w:rPr>
        <w:t>,</w:t>
      </w:r>
      <w:r w:rsidR="005D1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F8B">
        <w:rPr>
          <w:rFonts w:ascii="Times New Roman" w:hAnsi="Times New Roman" w:cs="Times New Roman"/>
          <w:bCs/>
          <w:sz w:val="28"/>
          <w:szCs w:val="28"/>
        </w:rPr>
        <w:t xml:space="preserve">каким образом представляются </w:t>
      </w:r>
      <w:r w:rsidR="005D1793">
        <w:rPr>
          <w:rFonts w:ascii="Times New Roman" w:hAnsi="Times New Roman" w:cs="Times New Roman"/>
          <w:bCs/>
          <w:sz w:val="28"/>
          <w:szCs w:val="28"/>
        </w:rPr>
        <w:t xml:space="preserve">требуемые </w:t>
      </w:r>
      <w:r w:rsidR="00493F8B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="005D179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93F8B">
        <w:rPr>
          <w:rFonts w:ascii="Times New Roman" w:hAnsi="Times New Roman" w:cs="Times New Roman"/>
          <w:bCs/>
          <w:sz w:val="28"/>
          <w:szCs w:val="28"/>
        </w:rPr>
        <w:t xml:space="preserve">самостоятельно </w:t>
      </w:r>
      <w:r w:rsidR="005D17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гражданином </w:t>
      </w:r>
      <w:r w:rsidR="00493F8B">
        <w:rPr>
          <w:rFonts w:ascii="Times New Roman" w:hAnsi="Times New Roman" w:cs="Times New Roman"/>
          <w:bCs/>
          <w:sz w:val="28"/>
          <w:szCs w:val="28"/>
        </w:rPr>
        <w:t>или запрашиваются органами в порядке межведомственного взаимодействия.</w:t>
      </w:r>
    </w:p>
    <w:p w:rsidR="008203DC" w:rsidRDefault="008203DC" w:rsidP="000B0984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сравнения: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BD2">
        <w:rPr>
          <w:rFonts w:ascii="Times New Roman" w:eastAsia="Calibri" w:hAnsi="Times New Roman" w:cs="Times New Roman"/>
          <w:sz w:val="28"/>
          <w:szCs w:val="28"/>
        </w:rPr>
        <w:t>2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E94BD2">
        <w:rPr>
          <w:rFonts w:ascii="Times New Roman" w:eastAsia="Calibri" w:hAnsi="Times New Roman" w:cs="Times New Roman"/>
          <w:sz w:val="28"/>
          <w:szCs w:val="28"/>
        </w:rPr>
        <w:t>а</w:t>
      </w:r>
      <w:r w:rsidR="00E94BD2" w:rsidRPr="00E94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BD2">
        <w:rPr>
          <w:rFonts w:ascii="Times New Roman" w:eastAsia="Calibri" w:hAnsi="Times New Roman" w:cs="Times New Roman"/>
          <w:sz w:val="28"/>
          <w:szCs w:val="28"/>
        </w:rPr>
        <w:t>выявлено</w:t>
      </w:r>
      <w:r w:rsidR="00E94BD2" w:rsidRPr="00E94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>во II полугодии 201</w:t>
      </w:r>
      <w:r w:rsidR="00E94BD2">
        <w:rPr>
          <w:rFonts w:ascii="Times New Roman" w:eastAsia="Calibri" w:hAnsi="Times New Roman" w:cs="Times New Roman"/>
          <w:sz w:val="28"/>
          <w:szCs w:val="28"/>
        </w:rPr>
        <w:t>6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 г., </w:t>
      </w:r>
      <w:r w:rsidR="008D6C3C">
        <w:rPr>
          <w:rFonts w:ascii="Times New Roman" w:eastAsia="Calibri" w:hAnsi="Times New Roman" w:cs="Times New Roman"/>
          <w:sz w:val="28"/>
          <w:szCs w:val="28"/>
        </w:rPr>
        <w:t>3 фактора</w:t>
      </w:r>
      <w:r w:rsidR="008D6C3C" w:rsidRPr="008D6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BD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D6C3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6C3C" w:rsidRPr="00976174">
        <w:rPr>
          <w:rFonts w:ascii="Times New Roman" w:eastAsia="Calibri" w:hAnsi="Times New Roman" w:cs="Times New Roman"/>
          <w:sz w:val="28"/>
          <w:szCs w:val="28"/>
        </w:rPr>
        <w:t>I полугодии 201</w:t>
      </w:r>
      <w:r w:rsidR="008D6C3C">
        <w:rPr>
          <w:rFonts w:ascii="Times New Roman" w:eastAsia="Calibri" w:hAnsi="Times New Roman" w:cs="Times New Roman"/>
          <w:sz w:val="28"/>
          <w:szCs w:val="28"/>
        </w:rPr>
        <w:t xml:space="preserve">6 г., </w:t>
      </w:r>
      <w:r w:rsidR="000345FC">
        <w:rPr>
          <w:rFonts w:ascii="Times New Roman" w:eastAsia="Calibri" w:hAnsi="Times New Roman" w:cs="Times New Roman"/>
          <w:sz w:val="28"/>
          <w:szCs w:val="28"/>
        </w:rPr>
        <w:t xml:space="preserve">7 факторов </w:t>
      </w:r>
      <w:r w:rsidR="008D6C3C">
        <w:rPr>
          <w:rFonts w:ascii="Times New Roman" w:eastAsia="Calibri" w:hAnsi="Times New Roman" w:cs="Times New Roman"/>
          <w:sz w:val="28"/>
          <w:szCs w:val="28"/>
        </w:rPr>
        <w:t>–</w:t>
      </w:r>
      <w:r w:rsidR="00034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2015 г., </w:t>
      </w:r>
      <w:r w:rsidR="000345FC">
        <w:rPr>
          <w:rFonts w:ascii="Times New Roman" w:eastAsia="Calibri" w:hAnsi="Times New Roman" w:cs="Times New Roman"/>
          <w:sz w:val="28"/>
          <w:szCs w:val="28"/>
        </w:rPr>
        <w:t xml:space="preserve">8 факторов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B0984">
        <w:rPr>
          <w:rFonts w:ascii="Times New Roman" w:eastAsia="Calibri" w:hAnsi="Times New Roman" w:cs="Times New Roman"/>
          <w:sz w:val="28"/>
          <w:szCs w:val="28"/>
        </w:rPr>
        <w:t xml:space="preserve"> полугодии 2015 г;</w:t>
      </w:r>
    </w:p>
    <w:p w:rsidR="00181FC0" w:rsidRDefault="00181FC0" w:rsidP="000B0984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06F6D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 коллизии</w:t>
      </w:r>
      <w:r w:rsidRPr="00406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06F6D">
        <w:rPr>
          <w:rFonts w:ascii="Times New Roman" w:eastAsia="Calibri" w:hAnsi="Times New Roman" w:cs="Times New Roman"/>
          <w:sz w:val="28"/>
          <w:szCs w:val="28"/>
        </w:rPr>
        <w:t xml:space="preserve">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FC0" w:rsidRPr="00406F6D" w:rsidRDefault="00181FC0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06F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D27ED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="00AD27ED" w:rsidRPr="00820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7ED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антикоррупционной экспертизы </w:t>
      </w:r>
      <w:r w:rsidRPr="00406F6D">
        <w:rPr>
          <w:rFonts w:ascii="Times New Roman" w:eastAsia="Calibri" w:hAnsi="Times New Roman" w:cs="Times New Roman"/>
          <w:sz w:val="28"/>
          <w:szCs w:val="28"/>
        </w:rPr>
        <w:t xml:space="preserve">выявлен </w:t>
      </w:r>
      <w:r w:rsidR="00E94BD2">
        <w:rPr>
          <w:rFonts w:ascii="Times New Roman" w:eastAsia="Calibri" w:hAnsi="Times New Roman" w:cs="Times New Roman"/>
          <w:sz w:val="28"/>
          <w:szCs w:val="28"/>
        </w:rPr>
        <w:t>1</w:t>
      </w:r>
      <w:r w:rsidRPr="00406F6D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="00E94BD2">
        <w:rPr>
          <w:rFonts w:ascii="Times New Roman" w:eastAsia="Calibri" w:hAnsi="Times New Roman" w:cs="Times New Roman"/>
          <w:sz w:val="28"/>
          <w:szCs w:val="28"/>
        </w:rPr>
        <w:t>ой</w:t>
      </w:r>
      <w:r w:rsidRPr="00406F6D">
        <w:rPr>
          <w:rFonts w:ascii="Times New Roman" w:eastAsia="Calibri" w:hAnsi="Times New Roman" w:cs="Times New Roman"/>
          <w:sz w:val="28"/>
          <w:szCs w:val="28"/>
        </w:rPr>
        <w:t xml:space="preserve"> фактор.</w:t>
      </w:r>
    </w:p>
    <w:p w:rsidR="005D1793" w:rsidRPr="005D1793" w:rsidRDefault="00181FC0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D179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5D1793">
        <w:rPr>
          <w:rFonts w:ascii="Times New Roman" w:eastAsia="Calibri" w:hAnsi="Times New Roman" w:cs="Times New Roman"/>
          <w:sz w:val="28"/>
          <w:szCs w:val="28"/>
        </w:rPr>
        <w:t>в</w:t>
      </w:r>
      <w:r w:rsidR="005D1793" w:rsidRPr="005D1793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5D1793">
        <w:rPr>
          <w:rFonts w:ascii="Times New Roman" w:eastAsia="Calibri" w:hAnsi="Times New Roman" w:cs="Times New Roman"/>
          <w:sz w:val="28"/>
          <w:szCs w:val="28"/>
        </w:rPr>
        <w:t>нормой акта</w:t>
      </w:r>
      <w:r w:rsidR="005D1793" w:rsidRPr="005D1793">
        <w:rPr>
          <w:rFonts w:ascii="Times New Roman" w:eastAsia="Calibri" w:hAnsi="Times New Roman" w:cs="Times New Roman"/>
          <w:sz w:val="28"/>
          <w:szCs w:val="28"/>
        </w:rPr>
        <w:t xml:space="preserve"> выявление </w:t>
      </w:r>
      <w:r w:rsidR="000A0F4D">
        <w:rPr>
          <w:rFonts w:ascii="Times New Roman" w:eastAsia="Calibri" w:hAnsi="Times New Roman" w:cs="Times New Roman"/>
          <w:sz w:val="28"/>
          <w:szCs w:val="28"/>
        </w:rPr>
        <w:t>факта включения гражданина</w:t>
      </w:r>
      <w:r w:rsidR="00F1753C">
        <w:rPr>
          <w:rFonts w:ascii="Times New Roman" w:eastAsia="Calibri" w:hAnsi="Times New Roman" w:cs="Times New Roman"/>
          <w:sz w:val="28"/>
          <w:szCs w:val="28"/>
        </w:rPr>
        <w:t>-</w:t>
      </w:r>
      <w:r w:rsidR="000A0F4D">
        <w:rPr>
          <w:rFonts w:ascii="Times New Roman" w:eastAsia="Calibri" w:hAnsi="Times New Roman" w:cs="Times New Roman"/>
          <w:sz w:val="28"/>
          <w:szCs w:val="28"/>
        </w:rPr>
        <w:t xml:space="preserve">заявителя в </w:t>
      </w:r>
      <w:proofErr w:type="gramStart"/>
      <w:r w:rsidR="000A0F4D">
        <w:rPr>
          <w:rFonts w:ascii="Times New Roman" w:eastAsia="Calibri" w:hAnsi="Times New Roman" w:cs="Times New Roman"/>
          <w:sz w:val="28"/>
          <w:szCs w:val="28"/>
        </w:rPr>
        <w:t>два и более списков</w:t>
      </w:r>
      <w:proofErr w:type="gramEnd"/>
      <w:r w:rsidR="000A0F4D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7870D7" w:rsidRPr="00787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0D7" w:rsidRPr="005D1793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7870D7" w:rsidRPr="00787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0D7" w:rsidRPr="005D1793">
        <w:rPr>
          <w:rFonts w:ascii="Times New Roman" w:eastAsia="Calibri" w:hAnsi="Times New Roman" w:cs="Times New Roman"/>
          <w:sz w:val="28"/>
          <w:szCs w:val="28"/>
        </w:rPr>
        <w:t>одним из оснований для принятия органом местного самоуправления решения об исключении гражданина из списка граждан</w:t>
      </w:r>
      <w:r w:rsidR="005D1793" w:rsidRPr="005D17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793" w:rsidRPr="005D1793" w:rsidRDefault="005D1793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D1793">
        <w:rPr>
          <w:rFonts w:ascii="Times New Roman" w:eastAsia="Calibri" w:hAnsi="Times New Roman" w:cs="Times New Roman"/>
          <w:sz w:val="28"/>
          <w:szCs w:val="28"/>
        </w:rPr>
        <w:t xml:space="preserve">Указанная норма </w:t>
      </w:r>
      <w:r>
        <w:rPr>
          <w:rFonts w:ascii="Times New Roman" w:eastAsia="Calibri" w:hAnsi="Times New Roman" w:cs="Times New Roman"/>
          <w:sz w:val="28"/>
          <w:szCs w:val="28"/>
        </w:rPr>
        <w:t>акта</w:t>
      </w:r>
      <w:r w:rsidRPr="005D1793">
        <w:rPr>
          <w:rFonts w:ascii="Times New Roman" w:eastAsia="Calibri" w:hAnsi="Times New Roman" w:cs="Times New Roman"/>
          <w:sz w:val="28"/>
          <w:szCs w:val="28"/>
        </w:rPr>
        <w:t xml:space="preserve"> не согласуется с </w:t>
      </w:r>
      <w:r>
        <w:rPr>
          <w:rFonts w:ascii="Times New Roman" w:eastAsia="Calibri" w:hAnsi="Times New Roman" w:cs="Times New Roman"/>
          <w:sz w:val="28"/>
          <w:szCs w:val="28"/>
        </w:rPr>
        <w:t>другой нормой акта</w:t>
      </w:r>
      <w:r w:rsidRPr="005D1793">
        <w:rPr>
          <w:rFonts w:ascii="Times New Roman" w:eastAsia="Calibri" w:hAnsi="Times New Roman" w:cs="Times New Roman"/>
          <w:sz w:val="28"/>
          <w:szCs w:val="28"/>
        </w:rPr>
        <w:t>, из содержания которо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D1793">
        <w:rPr>
          <w:rFonts w:ascii="Times New Roman" w:eastAsia="Calibri" w:hAnsi="Times New Roman" w:cs="Times New Roman"/>
          <w:sz w:val="28"/>
          <w:szCs w:val="28"/>
        </w:rPr>
        <w:t xml:space="preserve"> следует, что выявление </w:t>
      </w:r>
      <w:r w:rsidR="00ED73FF">
        <w:rPr>
          <w:rFonts w:ascii="Times New Roman" w:eastAsia="Calibri" w:hAnsi="Times New Roman" w:cs="Times New Roman"/>
          <w:sz w:val="28"/>
          <w:szCs w:val="28"/>
        </w:rPr>
        <w:t xml:space="preserve">указанного </w:t>
      </w:r>
      <w:r w:rsidRPr="005D1793">
        <w:rPr>
          <w:rFonts w:ascii="Times New Roman" w:eastAsia="Calibri" w:hAnsi="Times New Roman" w:cs="Times New Roman"/>
          <w:sz w:val="28"/>
          <w:szCs w:val="28"/>
        </w:rPr>
        <w:t>факта является основанием</w:t>
      </w:r>
      <w:r w:rsidR="00ED7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D73F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D17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1793" w:rsidRPr="005D1793" w:rsidRDefault="005D1793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1793">
        <w:rPr>
          <w:rFonts w:ascii="Times New Roman" w:eastAsia="Calibri" w:hAnsi="Times New Roman" w:cs="Times New Roman"/>
          <w:sz w:val="28"/>
          <w:szCs w:val="28"/>
        </w:rPr>
        <w:tab/>
      </w:r>
      <w:r w:rsidR="00ED73FF">
        <w:rPr>
          <w:rFonts w:ascii="Times New Roman" w:eastAsia="Calibri" w:hAnsi="Times New Roman" w:cs="Times New Roman"/>
          <w:sz w:val="28"/>
          <w:szCs w:val="28"/>
        </w:rPr>
        <w:t>п</w:t>
      </w:r>
      <w:r w:rsidRPr="005D1793">
        <w:rPr>
          <w:rFonts w:ascii="Times New Roman" w:eastAsia="Calibri" w:hAnsi="Times New Roman" w:cs="Times New Roman"/>
          <w:sz w:val="28"/>
          <w:szCs w:val="28"/>
        </w:rPr>
        <w:t xml:space="preserve">одачи гражданином заявления об исключении его из списков граждан во все органы местного самоуправления, принявшие решения о включении его в список граждан, за исключением одного по выбору гражданина-заявителя; </w:t>
      </w:r>
    </w:p>
    <w:p w:rsidR="005D1793" w:rsidRDefault="005D1793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1793">
        <w:rPr>
          <w:rFonts w:ascii="Times New Roman" w:eastAsia="Calibri" w:hAnsi="Times New Roman" w:cs="Times New Roman"/>
          <w:sz w:val="28"/>
          <w:szCs w:val="28"/>
        </w:rPr>
        <w:tab/>
        <w:t>принятия уполномоченным органом решения об исключении такого гражданина-заявителя из всех списком самостоятельно и уведомления о принятом решении соответствующи</w:t>
      </w:r>
      <w:r w:rsidR="00F1753C">
        <w:rPr>
          <w:rFonts w:ascii="Times New Roman" w:eastAsia="Calibri" w:hAnsi="Times New Roman" w:cs="Times New Roman"/>
          <w:sz w:val="28"/>
          <w:szCs w:val="28"/>
        </w:rPr>
        <w:t>х</w:t>
      </w:r>
      <w:r w:rsidRPr="005D179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1753C">
        <w:rPr>
          <w:rFonts w:ascii="Times New Roman" w:eastAsia="Calibri" w:hAnsi="Times New Roman" w:cs="Times New Roman"/>
          <w:sz w:val="28"/>
          <w:szCs w:val="28"/>
        </w:rPr>
        <w:t>ов</w:t>
      </w:r>
      <w:r w:rsidRPr="005D1793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– в случае неполучения уполномоченным органом от органов местного самоуправления по истечении 2 месяцев со дня выявления указанного факта сведений об исключении гражданина-заявителя из списков граждан.</w:t>
      </w:r>
    </w:p>
    <w:p w:rsidR="005D1793" w:rsidRPr="007870D7" w:rsidRDefault="007870D7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870D7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</w:rPr>
        <w:t>акт содержит нормы, противоречащие друг другу.</w:t>
      </w:r>
    </w:p>
    <w:p w:rsidR="00FF1BF5" w:rsidRPr="00800CF6" w:rsidRDefault="00181FC0" w:rsidP="00800CF6">
      <w:pPr>
        <w:pStyle w:val="a3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сравнения: 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>во II полугодии 201</w:t>
      </w:r>
      <w:r w:rsidR="00E94BD2">
        <w:rPr>
          <w:rFonts w:ascii="Times New Roman" w:eastAsia="Calibri" w:hAnsi="Times New Roman" w:cs="Times New Roman"/>
          <w:sz w:val="28"/>
          <w:szCs w:val="28"/>
        </w:rPr>
        <w:t>6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E94BD2" w:rsidRPr="00406F6D">
        <w:rPr>
          <w:rFonts w:ascii="Times New Roman" w:eastAsia="Calibri" w:hAnsi="Times New Roman" w:cs="Times New Roman"/>
          <w:sz w:val="28"/>
          <w:szCs w:val="28"/>
        </w:rPr>
        <w:t>выявлен</w:t>
      </w:r>
      <w:r w:rsidR="00AD27ED">
        <w:rPr>
          <w:rFonts w:ascii="Times New Roman" w:eastAsia="Calibri" w:hAnsi="Times New Roman" w:cs="Times New Roman"/>
          <w:sz w:val="28"/>
          <w:szCs w:val="28"/>
        </w:rPr>
        <w:t>о</w:t>
      </w:r>
      <w:r w:rsidR="00E94BD2" w:rsidRPr="00406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BD2">
        <w:rPr>
          <w:rFonts w:ascii="Times New Roman" w:eastAsia="Calibri" w:hAnsi="Times New Roman" w:cs="Times New Roman"/>
          <w:sz w:val="28"/>
          <w:szCs w:val="28"/>
        </w:rPr>
        <w:t>2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BD2">
        <w:rPr>
          <w:rFonts w:ascii="Times New Roman" w:eastAsia="Calibri" w:hAnsi="Times New Roman" w:cs="Times New Roman"/>
          <w:sz w:val="28"/>
          <w:szCs w:val="28"/>
        </w:rPr>
        <w:t>таких</w:t>
      </w:r>
      <w:r w:rsidR="00E94BD2" w:rsidRPr="00406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E94BD2">
        <w:rPr>
          <w:rFonts w:ascii="Times New Roman" w:eastAsia="Calibri" w:hAnsi="Times New Roman" w:cs="Times New Roman"/>
          <w:sz w:val="28"/>
          <w:szCs w:val="28"/>
        </w:rPr>
        <w:t>а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30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305B" w:rsidRPr="00406F6D">
        <w:rPr>
          <w:rFonts w:ascii="Times New Roman" w:eastAsia="Calibri" w:hAnsi="Times New Roman" w:cs="Times New Roman"/>
          <w:sz w:val="28"/>
          <w:szCs w:val="28"/>
        </w:rPr>
        <w:t xml:space="preserve">I полугодии 2016 г. </w:t>
      </w:r>
      <w:r w:rsidR="00E94BD2">
        <w:rPr>
          <w:rFonts w:ascii="Times New Roman" w:eastAsia="Calibri" w:hAnsi="Times New Roman" w:cs="Times New Roman"/>
          <w:sz w:val="28"/>
          <w:szCs w:val="28"/>
        </w:rPr>
        <w:t>–</w:t>
      </w:r>
      <w:r w:rsidR="00E94BD2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05B" w:rsidRPr="00406F6D">
        <w:rPr>
          <w:rFonts w:ascii="Times New Roman" w:eastAsia="Calibri" w:hAnsi="Times New Roman" w:cs="Times New Roman"/>
          <w:sz w:val="28"/>
          <w:szCs w:val="28"/>
        </w:rPr>
        <w:t>1 фактор</w:t>
      </w:r>
      <w:r w:rsidR="00E23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32908">
        <w:rPr>
          <w:rFonts w:ascii="Times New Roman" w:eastAsia="Calibri" w:hAnsi="Times New Roman" w:cs="Times New Roman"/>
          <w:sz w:val="28"/>
          <w:szCs w:val="28"/>
        </w:rPr>
        <w:t>5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 такой фактор не выявлялся</w:t>
      </w:r>
      <w:r w:rsidR="00144C94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54AC" w:rsidRDefault="004C60F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часто выявляемы</w:t>
      </w:r>
      <w:r w:rsidR="00E254AC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2823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E254AC">
        <w:rPr>
          <w:rFonts w:ascii="Times New Roman" w:eastAsia="Calibri" w:hAnsi="Times New Roman" w:cs="Times New Roman"/>
          <w:sz w:val="28"/>
          <w:szCs w:val="28"/>
        </w:rPr>
        <w:t>ми</w:t>
      </w:r>
      <w:proofErr w:type="spellEnd"/>
      <w:r w:rsidR="00FB2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E254AC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</w:t>
      </w:r>
      <w:r w:rsidR="00FA7693">
        <w:rPr>
          <w:rFonts w:ascii="Times New Roman" w:eastAsia="Calibri" w:hAnsi="Times New Roman" w:cs="Times New Roman"/>
          <w:sz w:val="28"/>
          <w:szCs w:val="28"/>
        </w:rPr>
        <w:t>тах</w:t>
      </w:r>
      <w:r w:rsidR="00BA7BEA">
        <w:rPr>
          <w:rFonts w:ascii="Times New Roman" w:eastAsia="Calibri" w:hAnsi="Times New Roman" w:cs="Times New Roman"/>
          <w:sz w:val="28"/>
          <w:szCs w:val="28"/>
        </w:rPr>
        <w:t xml:space="preserve"> по итогам антикоррупционной экспертизы в </w:t>
      </w:r>
      <w:r w:rsidR="00BA7BEA" w:rsidRPr="00976174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BA7BEA">
        <w:rPr>
          <w:rFonts w:ascii="Times New Roman" w:eastAsia="Calibri" w:hAnsi="Times New Roman" w:cs="Times New Roman"/>
          <w:sz w:val="28"/>
          <w:szCs w:val="28"/>
        </w:rPr>
        <w:t>полугодии 201</w:t>
      </w:r>
      <w:r w:rsidR="00FF1BF5">
        <w:rPr>
          <w:rFonts w:ascii="Times New Roman" w:eastAsia="Calibri" w:hAnsi="Times New Roman" w:cs="Times New Roman"/>
          <w:sz w:val="28"/>
          <w:szCs w:val="28"/>
        </w:rPr>
        <w:t>7</w:t>
      </w:r>
      <w:r w:rsidR="00BA7BE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B2823">
        <w:rPr>
          <w:rFonts w:ascii="Times New Roman" w:eastAsia="Calibri" w:hAnsi="Times New Roman" w:cs="Times New Roman"/>
          <w:sz w:val="28"/>
          <w:szCs w:val="28"/>
        </w:rPr>
        <w:t>.</w:t>
      </w:r>
      <w:r w:rsidR="00E25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A71" w:rsidRPr="00800CF6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E254A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144C94">
        <w:rPr>
          <w:rFonts w:ascii="Times New Roman" w:eastAsia="Calibri" w:hAnsi="Times New Roman" w:cs="Times New Roman"/>
          <w:sz w:val="28"/>
          <w:szCs w:val="28"/>
        </w:rPr>
        <w:t xml:space="preserve"> вида</w:t>
      </w:r>
      <w:r w:rsidR="00E25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27E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AD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4AC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F1753C">
        <w:rPr>
          <w:rFonts w:ascii="Times New Roman" w:eastAsia="Calibri" w:hAnsi="Times New Roman" w:cs="Times New Roman"/>
          <w:sz w:val="28"/>
          <w:szCs w:val="28"/>
        </w:rPr>
        <w:t>ов</w:t>
      </w:r>
      <w:r w:rsidR="00E254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1BF5" w:rsidRDefault="00FF1BF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F1BF5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>
        <w:rPr>
          <w:rFonts w:ascii="Times New Roman" w:eastAsia="Calibri" w:hAnsi="Times New Roman" w:cs="Times New Roman"/>
          <w:sz w:val="28"/>
          <w:szCs w:val="28"/>
        </w:rPr>
        <w:t>» - 4</w:t>
      </w:r>
      <w:r w:rsidR="00C85A58">
        <w:rPr>
          <w:rFonts w:ascii="Times New Roman" w:eastAsia="Calibri" w:hAnsi="Times New Roman" w:cs="Times New Roman"/>
          <w:sz w:val="28"/>
          <w:szCs w:val="28"/>
        </w:rPr>
        <w:t>1,7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от общего количества факторов, выявленных в нормативных правовых актах в анализируемом периоде (</w:t>
      </w:r>
      <w:r w:rsidR="00544025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54402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44025">
        <w:rPr>
          <w:rFonts w:ascii="Times New Roman" w:eastAsia="Calibri" w:hAnsi="Times New Roman" w:cs="Times New Roman"/>
          <w:sz w:val="28"/>
          <w:szCs w:val="28"/>
        </w:rPr>
        <w:t xml:space="preserve"> полугодии 2016 г.</w:t>
      </w:r>
      <w:r w:rsidR="00544025" w:rsidRPr="00486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025">
        <w:rPr>
          <w:rFonts w:ascii="Times New Roman" w:eastAsia="Calibri" w:hAnsi="Times New Roman" w:cs="Times New Roman"/>
          <w:sz w:val="28"/>
          <w:szCs w:val="28"/>
        </w:rPr>
        <w:t xml:space="preserve">такой фактор не выявлялся, </w:t>
      </w:r>
      <w:r w:rsidR="004869E1">
        <w:rPr>
          <w:rFonts w:ascii="Times New Roman" w:eastAsia="Calibri" w:hAnsi="Times New Roman" w:cs="Times New Roman"/>
          <w:sz w:val="28"/>
          <w:szCs w:val="28"/>
        </w:rPr>
        <w:t>в I</w:t>
      </w:r>
      <w:r w:rsidR="004869E1" w:rsidRPr="00976174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 w:rsidR="004869E1">
        <w:rPr>
          <w:rFonts w:ascii="Times New Roman" w:eastAsia="Calibri" w:hAnsi="Times New Roman" w:cs="Times New Roman"/>
          <w:sz w:val="28"/>
          <w:szCs w:val="28"/>
        </w:rPr>
        <w:t>годии 2016</w:t>
      </w:r>
      <w:r w:rsidR="004869E1" w:rsidRPr="0097617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869E1">
        <w:rPr>
          <w:rFonts w:ascii="Times New Roman" w:eastAsia="Calibri" w:hAnsi="Times New Roman" w:cs="Times New Roman"/>
          <w:sz w:val="28"/>
          <w:szCs w:val="28"/>
        </w:rPr>
        <w:t xml:space="preserve">. – 5,5 %, во </w:t>
      </w:r>
      <w:r w:rsidR="004869E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869E1">
        <w:rPr>
          <w:rFonts w:ascii="Times New Roman" w:eastAsia="Calibri" w:hAnsi="Times New Roman" w:cs="Times New Roman"/>
          <w:sz w:val="28"/>
          <w:szCs w:val="28"/>
        </w:rPr>
        <w:t xml:space="preserve"> полугодии 2015 г. – 10 %, в I</w:t>
      </w:r>
      <w:r w:rsidR="004869E1" w:rsidRPr="00976174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 w:rsidR="004869E1">
        <w:rPr>
          <w:rFonts w:ascii="Times New Roman" w:eastAsia="Calibri" w:hAnsi="Times New Roman" w:cs="Times New Roman"/>
          <w:sz w:val="28"/>
          <w:szCs w:val="28"/>
        </w:rPr>
        <w:t>годии 2015</w:t>
      </w:r>
      <w:r w:rsidR="004869E1" w:rsidRPr="0097617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869E1">
        <w:rPr>
          <w:rFonts w:ascii="Times New Roman" w:eastAsia="Calibri" w:hAnsi="Times New Roman" w:cs="Times New Roman"/>
          <w:sz w:val="28"/>
          <w:szCs w:val="28"/>
        </w:rPr>
        <w:t>. такой фактор не выявлялся);</w:t>
      </w:r>
      <w:proofErr w:type="gramEnd"/>
    </w:p>
    <w:p w:rsidR="00BA7BEA" w:rsidRDefault="00FB2823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686071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FF1BF5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532B">
        <w:rPr>
          <w:rFonts w:ascii="Times New Roman" w:eastAsia="Calibri" w:hAnsi="Times New Roman" w:cs="Times New Roman"/>
          <w:sz w:val="28"/>
          <w:szCs w:val="28"/>
        </w:rPr>
        <w:t xml:space="preserve">от общего количества </w:t>
      </w:r>
      <w:r>
        <w:rPr>
          <w:rFonts w:ascii="Times New Roman" w:eastAsia="Calibri" w:hAnsi="Times New Roman" w:cs="Times New Roman"/>
          <w:sz w:val="28"/>
          <w:szCs w:val="28"/>
        </w:rPr>
        <w:t>факторов, выявленных в нормативных правовых актах в анализируемом периоде (</w:t>
      </w:r>
      <w:r w:rsidR="00FF1BF5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FF1BF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F1BF5">
        <w:rPr>
          <w:rFonts w:ascii="Times New Roman" w:eastAsia="Calibri" w:hAnsi="Times New Roman" w:cs="Times New Roman"/>
          <w:sz w:val="28"/>
          <w:szCs w:val="28"/>
        </w:rPr>
        <w:t xml:space="preserve"> полугодии 2016 г. – 29 %, </w:t>
      </w:r>
      <w:r w:rsidR="00E254AC">
        <w:rPr>
          <w:rFonts w:ascii="Times New Roman" w:eastAsia="Calibri" w:hAnsi="Times New Roman" w:cs="Times New Roman"/>
          <w:sz w:val="28"/>
          <w:szCs w:val="28"/>
        </w:rPr>
        <w:t>в I</w:t>
      </w:r>
      <w:r w:rsidR="00E254AC" w:rsidRPr="00976174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 w:rsidR="00E254AC">
        <w:rPr>
          <w:rFonts w:ascii="Times New Roman" w:eastAsia="Calibri" w:hAnsi="Times New Roman" w:cs="Times New Roman"/>
          <w:sz w:val="28"/>
          <w:szCs w:val="28"/>
        </w:rPr>
        <w:t>годии 2016</w:t>
      </w:r>
      <w:r w:rsidR="00E254AC" w:rsidRPr="0097617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E254AC">
        <w:rPr>
          <w:rFonts w:ascii="Times New Roman" w:eastAsia="Calibri" w:hAnsi="Times New Roman" w:cs="Times New Roman"/>
          <w:sz w:val="28"/>
          <w:szCs w:val="28"/>
        </w:rPr>
        <w:t xml:space="preserve">. – 17 %, </w:t>
      </w:r>
      <w:r w:rsidR="0031532B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31532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1532B">
        <w:rPr>
          <w:rFonts w:ascii="Times New Roman" w:eastAsia="Calibri" w:hAnsi="Times New Roman" w:cs="Times New Roman"/>
          <w:sz w:val="28"/>
          <w:szCs w:val="28"/>
        </w:rPr>
        <w:t xml:space="preserve"> полугодии 2015 г. – </w:t>
      </w:r>
      <w:r w:rsidR="001A3630">
        <w:rPr>
          <w:rFonts w:ascii="Times New Roman" w:eastAsia="Calibri" w:hAnsi="Times New Roman" w:cs="Times New Roman"/>
          <w:sz w:val="28"/>
          <w:szCs w:val="28"/>
        </w:rPr>
        <w:t>7</w:t>
      </w:r>
      <w:r w:rsidR="0031532B">
        <w:rPr>
          <w:rFonts w:ascii="Times New Roman" w:eastAsia="Calibri" w:hAnsi="Times New Roman" w:cs="Times New Roman"/>
          <w:sz w:val="28"/>
          <w:szCs w:val="28"/>
        </w:rPr>
        <w:t xml:space="preserve">0 %, </w:t>
      </w:r>
      <w:r>
        <w:rPr>
          <w:rFonts w:ascii="Times New Roman" w:eastAsia="Calibri" w:hAnsi="Times New Roman" w:cs="Times New Roman"/>
          <w:sz w:val="28"/>
          <w:szCs w:val="28"/>
        </w:rPr>
        <w:t>в I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>
        <w:rPr>
          <w:rFonts w:ascii="Times New Roman" w:eastAsia="Calibri" w:hAnsi="Times New Roman" w:cs="Times New Roman"/>
          <w:sz w:val="28"/>
          <w:szCs w:val="28"/>
        </w:rPr>
        <w:t>годии 2015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532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2096C">
        <w:rPr>
          <w:rFonts w:ascii="Times New Roman" w:eastAsia="Calibri" w:hAnsi="Times New Roman" w:cs="Times New Roman"/>
          <w:sz w:val="28"/>
          <w:szCs w:val="28"/>
        </w:rPr>
        <w:t>34,7%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254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BF5" w:rsidRDefault="00FF1BF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«широта дискреционных полномочий»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5A58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7 %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общего количества факторов, выявленных в нормативных правовых актах в анализируемом периоде (во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2016 г. – 29 %, в I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>
        <w:rPr>
          <w:rFonts w:ascii="Times New Roman" w:eastAsia="Calibri" w:hAnsi="Times New Roman" w:cs="Times New Roman"/>
          <w:sz w:val="28"/>
          <w:szCs w:val="28"/>
        </w:rPr>
        <w:t>годии 2016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50 %, 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2015 г. – 10 %, в I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>
        <w:rPr>
          <w:rFonts w:ascii="Times New Roman" w:eastAsia="Calibri" w:hAnsi="Times New Roman" w:cs="Times New Roman"/>
          <w:sz w:val="28"/>
          <w:szCs w:val="28"/>
        </w:rPr>
        <w:t>годии 2015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D2096C">
        <w:rPr>
          <w:rFonts w:ascii="Times New Roman" w:eastAsia="Calibri" w:hAnsi="Times New Roman" w:cs="Times New Roman"/>
          <w:sz w:val="28"/>
          <w:szCs w:val="28"/>
        </w:rPr>
        <w:t>. – 47,8 %</w:t>
      </w:r>
      <w:r w:rsidR="004869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C20EA" w:rsidRDefault="001C20E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каждого выявленного </w:t>
      </w:r>
      <w:proofErr w:type="spellStart"/>
      <w:r w:rsidR="00C263C1"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 w:rsidR="00C2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фактора </w:t>
      </w:r>
      <w:r w:rsidRPr="001C20EA">
        <w:rPr>
          <w:rFonts w:ascii="Times New Roman" w:eastAsia="Calibri" w:hAnsi="Times New Roman" w:cs="Times New Roman"/>
          <w:sz w:val="28"/>
          <w:szCs w:val="28"/>
        </w:rPr>
        <w:t>в обще</w:t>
      </w:r>
      <w:r w:rsidR="00B77019">
        <w:rPr>
          <w:rFonts w:ascii="Times New Roman" w:eastAsia="Calibri" w:hAnsi="Times New Roman" w:cs="Times New Roman"/>
          <w:sz w:val="28"/>
          <w:szCs w:val="28"/>
        </w:rPr>
        <w:t>м количестве</w:t>
      </w:r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выявленных </w:t>
      </w:r>
      <w:proofErr w:type="spellStart"/>
      <w:r w:rsidRPr="001C20EA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факторов, отра</w:t>
      </w:r>
      <w:r w:rsidR="001E7F35">
        <w:rPr>
          <w:rFonts w:ascii="Times New Roman" w:eastAsia="Calibri" w:hAnsi="Times New Roman" w:cs="Times New Roman"/>
          <w:sz w:val="28"/>
          <w:szCs w:val="28"/>
        </w:rPr>
        <w:t xml:space="preserve">женных в заключениях в </w:t>
      </w:r>
      <w:r w:rsidR="00FE558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C53AE0">
        <w:rPr>
          <w:rFonts w:ascii="Times New Roman" w:eastAsia="Calibri" w:hAnsi="Times New Roman" w:cs="Times New Roman"/>
          <w:sz w:val="28"/>
          <w:szCs w:val="28"/>
        </w:rPr>
        <w:t>7</w:t>
      </w:r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F758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представлена в </w:t>
      </w:r>
      <w:r w:rsidR="00672963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иаграмме</w:t>
      </w:r>
      <w:r w:rsidR="0067296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EE2" w:rsidRDefault="00581EE2" w:rsidP="00581EE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Диаграмма</w:t>
      </w:r>
      <w:r w:rsidR="00672963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EC57A6" w:rsidRDefault="00EC57A6" w:rsidP="00581EE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E7F35" w:rsidRDefault="00224A7F" w:rsidP="00636F46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16D72" wp14:editId="198057ED">
            <wp:extent cx="6141720" cy="3611880"/>
            <wp:effectExtent l="0" t="0" r="114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4FCD" w:rsidRDefault="008C4FCD" w:rsidP="005C35B8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C35B8" w:rsidRPr="00FF4ADA" w:rsidRDefault="005C35B8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подробно статистические данные по видам и количеству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1532B">
        <w:rPr>
          <w:rFonts w:ascii="Times New Roman" w:eastAsia="Calibri" w:hAnsi="Times New Roman" w:cs="Times New Roman"/>
          <w:sz w:val="28"/>
          <w:szCs w:val="28"/>
        </w:rPr>
        <w:t>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1532B">
        <w:rPr>
          <w:rFonts w:ascii="Times New Roman" w:eastAsia="Calibri" w:hAnsi="Times New Roman" w:cs="Times New Roman"/>
          <w:sz w:val="28"/>
          <w:szCs w:val="28"/>
        </w:rPr>
        <w:t>, выявленны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актах в 201</w:t>
      </w:r>
      <w:r w:rsidR="0094668F">
        <w:rPr>
          <w:rFonts w:ascii="Times New Roman" w:eastAsia="Calibri" w:hAnsi="Times New Roman" w:cs="Times New Roman"/>
          <w:sz w:val="28"/>
          <w:szCs w:val="28"/>
        </w:rPr>
        <w:t>5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D2096C">
        <w:rPr>
          <w:rFonts w:ascii="Times New Roman" w:eastAsia="Calibri" w:hAnsi="Times New Roman" w:cs="Times New Roman"/>
          <w:sz w:val="28"/>
          <w:szCs w:val="28"/>
        </w:rPr>
        <w:t>7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заключениях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приведены в </w:t>
      </w:r>
      <w:r w:rsidR="00174A71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иложении № 1 к настоящему Мониторингу.</w:t>
      </w:r>
    </w:p>
    <w:p w:rsidR="00C16A44" w:rsidRDefault="00672963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Сравнительный анализ</w:t>
      </w:r>
      <w:r w:rsidRPr="00471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количества преобладающи</w:t>
      </w:r>
      <w:r w:rsidR="00232908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типичных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факторов, выявленных в нормативных правовых актах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87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полугодии 201</w:t>
      </w:r>
      <w:r w:rsidR="00D2096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предыдущими отчетными периодами, приведен в Диаграмме 2:</w:t>
      </w:r>
    </w:p>
    <w:p w:rsidR="00EC57A6" w:rsidRDefault="00EC57A6" w:rsidP="00C16A44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F4ADA" w:rsidRDefault="00FF4ADA" w:rsidP="00C16A44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C57A6" w:rsidRDefault="00EC57A6" w:rsidP="00C16A44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72963" w:rsidRDefault="00672963" w:rsidP="00C16A44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Диаграмма 2</w:t>
      </w:r>
    </w:p>
    <w:p w:rsidR="00672963" w:rsidRDefault="00672963" w:rsidP="003467A0">
      <w:pPr>
        <w:pStyle w:val="a3"/>
        <w:suppressAutoHyphens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467A0" w:rsidRDefault="002E7ACE" w:rsidP="003467A0">
      <w:pPr>
        <w:pStyle w:val="a3"/>
        <w:suppressAutoHyphens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5E4240" wp14:editId="3A203F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3660" cy="5242560"/>
            <wp:effectExtent l="0" t="0" r="15240" b="1524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C51" w:rsidRDefault="00611390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0D00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258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25871" w:rsidRPr="00225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047">
        <w:rPr>
          <w:rFonts w:ascii="Times New Roman" w:eastAsia="Calibri" w:hAnsi="Times New Roman" w:cs="Times New Roman"/>
          <w:sz w:val="28"/>
          <w:szCs w:val="28"/>
        </w:rPr>
        <w:t>полугодии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D004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225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889">
        <w:rPr>
          <w:rFonts w:ascii="Times New Roman" w:eastAsia="Calibri" w:hAnsi="Times New Roman" w:cs="Times New Roman"/>
          <w:sz w:val="28"/>
          <w:szCs w:val="28"/>
        </w:rPr>
        <w:t xml:space="preserve">количество нормативных правовых актов, в которых по результатам антикоррупционной экспертизы выявлены </w:t>
      </w:r>
      <w:proofErr w:type="spellStart"/>
      <w:r w:rsidR="00C77889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C77889">
        <w:rPr>
          <w:rFonts w:ascii="Times New Roman" w:eastAsia="Calibri" w:hAnsi="Times New Roman" w:cs="Times New Roman"/>
          <w:sz w:val="28"/>
          <w:szCs w:val="28"/>
        </w:rPr>
        <w:t xml:space="preserve"> нормы, уменьшилось</w:t>
      </w:r>
      <w:r w:rsidR="00052E9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C77889">
        <w:rPr>
          <w:rFonts w:ascii="Times New Roman" w:eastAsia="Calibri" w:hAnsi="Times New Roman" w:cs="Times New Roman"/>
          <w:sz w:val="28"/>
          <w:szCs w:val="28"/>
        </w:rPr>
        <w:t xml:space="preserve">то же время </w:t>
      </w:r>
      <w:r w:rsidR="00052E9B">
        <w:rPr>
          <w:rFonts w:ascii="Times New Roman" w:eastAsia="Calibri" w:hAnsi="Times New Roman" w:cs="Times New Roman"/>
          <w:sz w:val="28"/>
          <w:szCs w:val="28"/>
        </w:rPr>
        <w:t xml:space="preserve">в указанном периоде 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по сравнению </w:t>
      </w:r>
      <w:r w:rsidR="001252CE">
        <w:rPr>
          <w:rFonts w:ascii="Times New Roman" w:eastAsia="Calibri" w:hAnsi="Times New Roman" w:cs="Times New Roman"/>
          <w:sz w:val="28"/>
          <w:szCs w:val="28"/>
        </w:rPr>
        <w:t>с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 предыдущим</w:t>
      </w:r>
      <w:r w:rsidR="00800CF6">
        <w:rPr>
          <w:rFonts w:ascii="Times New Roman" w:eastAsia="Calibri" w:hAnsi="Times New Roman" w:cs="Times New Roman"/>
          <w:sz w:val="28"/>
          <w:szCs w:val="28"/>
        </w:rPr>
        <w:t xml:space="preserve"> периодом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889">
        <w:rPr>
          <w:rFonts w:ascii="Times New Roman" w:eastAsia="Calibri" w:hAnsi="Times New Roman" w:cs="Times New Roman"/>
          <w:sz w:val="28"/>
          <w:szCs w:val="28"/>
        </w:rPr>
        <w:t xml:space="preserve">наблюдается тенденция к увеличению общего количества </w:t>
      </w:r>
      <w:proofErr w:type="spellStart"/>
      <w:r w:rsidR="00C77889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C77889">
        <w:rPr>
          <w:rFonts w:ascii="Times New Roman" w:eastAsia="Calibri" w:hAnsi="Times New Roman" w:cs="Times New Roman"/>
          <w:sz w:val="28"/>
          <w:szCs w:val="28"/>
        </w:rPr>
        <w:t xml:space="preserve"> факторов, выявленных в нормативных правовых актах</w:t>
      </w:r>
      <w:r w:rsidR="000D00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0047" w:rsidRDefault="00611390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0CF6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="00225871" w:rsidRPr="00800CF6">
        <w:rPr>
          <w:rFonts w:ascii="Times New Roman" w:eastAsia="Calibri" w:hAnsi="Times New Roman" w:cs="Times New Roman"/>
          <w:sz w:val="28"/>
          <w:szCs w:val="28"/>
        </w:rPr>
        <w:t xml:space="preserve">основными выявленными </w:t>
      </w:r>
      <w:proofErr w:type="spellStart"/>
      <w:r w:rsidR="00225871" w:rsidRPr="00800CF6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225871" w:rsidRPr="00800CF6">
        <w:rPr>
          <w:rFonts w:ascii="Times New Roman" w:eastAsia="Calibri" w:hAnsi="Times New Roman" w:cs="Times New Roman"/>
          <w:sz w:val="28"/>
          <w:szCs w:val="28"/>
        </w:rPr>
        <w:t xml:space="preserve"> фактора</w:t>
      </w:r>
      <w:r w:rsidR="003A6E0A" w:rsidRPr="00800CF6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6D4F97" w:rsidRPr="00800CF6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3A6E0A" w:rsidRPr="00800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CF6">
        <w:rPr>
          <w:rFonts w:ascii="Times New Roman" w:eastAsia="Calibri" w:hAnsi="Times New Roman" w:cs="Times New Roman"/>
          <w:sz w:val="28"/>
          <w:szCs w:val="28"/>
        </w:rPr>
        <w:t>«наличие завышенных требований к лицу, предъявляемых для реализации принадлежащего ему права», «</w:t>
      </w:r>
      <w:r w:rsidR="003A6E0A" w:rsidRPr="00800CF6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Pr="00800CF6">
        <w:rPr>
          <w:rFonts w:ascii="Times New Roman" w:eastAsia="Calibri" w:hAnsi="Times New Roman" w:cs="Times New Roman"/>
          <w:sz w:val="28"/>
          <w:szCs w:val="28"/>
        </w:rPr>
        <w:t>»</w:t>
      </w:r>
      <w:r w:rsidR="003A6E0A" w:rsidRPr="00800C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0CF6">
        <w:rPr>
          <w:rFonts w:ascii="Times New Roman" w:eastAsia="Calibri" w:hAnsi="Times New Roman" w:cs="Times New Roman"/>
          <w:sz w:val="28"/>
          <w:szCs w:val="28"/>
        </w:rPr>
        <w:t>«широта дискреционных полномочий»</w:t>
      </w:r>
      <w:r w:rsidR="00225871" w:rsidRPr="00800C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этом по сравнению с предыдущими отчетными периодами наблюдается значительное увеличение такого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фактора, как «</w:t>
      </w:r>
      <w:r w:rsidRPr="00FF1BF5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B4ADB" w:rsidRDefault="007B4ADB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5F9D" w:rsidRPr="007B4ADB" w:rsidRDefault="00095F9D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Default="006B49D2" w:rsidP="000B0984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результатов антикоррупционных экспертиз, проведенных Администрацией в отношении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отчетный 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период антикоррупционная экспертиза проведена в отношении 103 проектов нормативных правовых актов. 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73C">
        <w:rPr>
          <w:rFonts w:ascii="Times New Roman" w:eastAsia="Calibri" w:hAnsi="Times New Roman" w:cs="Times New Roman"/>
          <w:sz w:val="28"/>
          <w:szCs w:val="28"/>
        </w:rPr>
        <w:t>Для сравнения: во II полугодии 2016 г. антикоррупционная экспертиза проведена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Pr="0054473C">
        <w:rPr>
          <w:rFonts w:ascii="Times New Roman" w:eastAsia="Calibri" w:hAnsi="Times New Roman" w:cs="Times New Roman"/>
          <w:sz w:val="28"/>
          <w:szCs w:val="28"/>
        </w:rPr>
        <w:t>102 проект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актов; в I полугодии 2016 г.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3C">
        <w:rPr>
          <w:rFonts w:ascii="Times New Roman" w:eastAsia="Calibri" w:hAnsi="Times New Roman" w:cs="Times New Roman"/>
          <w:sz w:val="28"/>
          <w:szCs w:val="28"/>
        </w:rPr>
        <w:t>129 проектов нормативных правовых актов; во II полугодии 2015 г.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3C">
        <w:rPr>
          <w:rFonts w:ascii="Times New Roman" w:eastAsia="Calibri" w:hAnsi="Times New Roman" w:cs="Times New Roman"/>
          <w:sz w:val="28"/>
          <w:szCs w:val="28"/>
        </w:rPr>
        <w:t>131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акта; в I полугодии 2015 г.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148 проектов нормативных правовых актов. </w:t>
      </w:r>
    </w:p>
    <w:p w:rsidR="0054473C" w:rsidRDefault="000B26C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выявленные в проектах нормативных правовых актов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 устранялись в ходе работы над проектами. </w:t>
      </w:r>
    </w:p>
    <w:p w:rsidR="0044790B" w:rsidRPr="0094668F" w:rsidRDefault="006B49D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 по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68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полугодия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94668F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экспертиз </w:t>
      </w:r>
      <w:r w:rsidR="0094668F" w:rsidRPr="0094668F">
        <w:rPr>
          <w:rFonts w:ascii="Times New Roman" w:eastAsia="Calibri" w:hAnsi="Times New Roman" w:cs="Times New Roman"/>
          <w:sz w:val="28"/>
          <w:szCs w:val="28"/>
        </w:rPr>
        <w:t xml:space="preserve">проектов нормативных правовых актов 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показ</w:t>
      </w:r>
      <w:r w:rsidR="00921585" w:rsidRPr="0094668F">
        <w:rPr>
          <w:rFonts w:ascii="Times New Roman" w:eastAsia="Calibri" w:hAnsi="Times New Roman" w:cs="Times New Roman"/>
          <w:sz w:val="28"/>
          <w:szCs w:val="28"/>
        </w:rPr>
        <w:t>ал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, что</w:t>
      </w:r>
      <w:r w:rsidR="000C7519" w:rsidRPr="0094668F">
        <w:rPr>
          <w:rFonts w:ascii="Times New Roman" w:eastAsia="Calibri" w:hAnsi="Times New Roman" w:cs="Times New Roman"/>
          <w:sz w:val="28"/>
          <w:szCs w:val="28"/>
        </w:rPr>
        <w:t>,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519" w:rsidRPr="0094668F">
        <w:rPr>
          <w:rFonts w:ascii="Times New Roman" w:eastAsia="Calibri" w:hAnsi="Times New Roman" w:cs="Times New Roman"/>
          <w:sz w:val="28"/>
          <w:szCs w:val="28"/>
        </w:rPr>
        <w:t>как и в предыдущ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="000C7519" w:rsidRPr="0094668F">
        <w:rPr>
          <w:rFonts w:ascii="Times New Roman" w:eastAsia="Calibri" w:hAnsi="Times New Roman" w:cs="Times New Roman"/>
          <w:sz w:val="28"/>
          <w:szCs w:val="28"/>
        </w:rPr>
        <w:t xml:space="preserve"> отчетн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0C7519" w:rsidRPr="0094668F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0C7519" w:rsidRPr="009466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 xml:space="preserve">типичными </w:t>
      </w:r>
      <w:proofErr w:type="spellStart"/>
      <w:r w:rsidR="00565D6C" w:rsidRPr="0094668F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565D6C" w:rsidRPr="0094668F">
        <w:rPr>
          <w:rFonts w:ascii="Times New Roman" w:eastAsia="Calibri" w:hAnsi="Times New Roman" w:cs="Times New Roman"/>
          <w:sz w:val="28"/>
          <w:szCs w:val="28"/>
        </w:rPr>
        <w:t xml:space="preserve"> факторами</w:t>
      </w:r>
      <w:r>
        <w:rPr>
          <w:rFonts w:ascii="Times New Roman" w:eastAsia="Calibri" w:hAnsi="Times New Roman" w:cs="Times New Roman"/>
          <w:sz w:val="28"/>
          <w:szCs w:val="28"/>
        </w:rPr>
        <w:t>, выявляемыми Администрацией в проектах нормативных правовых актов,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44790B" w:rsidRPr="009466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F87" w:rsidRDefault="00AF6F87" w:rsidP="000B098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AF6F87" w:rsidRDefault="00565D6C" w:rsidP="000B098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AF6F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78A1" w:rsidRDefault="00C978A1" w:rsidP="000B098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компетенции по формуле «вправе»;</w:t>
      </w:r>
    </w:p>
    <w:p w:rsidR="005A783E" w:rsidRDefault="005A783E" w:rsidP="000B098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нормативные коллизии;</w:t>
      </w:r>
    </w:p>
    <w:p w:rsidR="00EE4A53" w:rsidRDefault="00EE4A53" w:rsidP="000B098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права;</w:t>
      </w:r>
    </w:p>
    <w:p w:rsidR="009B0F83" w:rsidRDefault="00E00367" w:rsidP="000B098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юридико-лингвистическая неопределен</w:t>
      </w:r>
      <w:r w:rsidR="00FA601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ость</w:t>
      </w:r>
      <w:r w:rsidR="005A78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AD1" w:rsidRDefault="009B0F83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EE4A53">
        <w:rPr>
          <w:rFonts w:ascii="Times New Roman" w:eastAsia="Calibri" w:hAnsi="Times New Roman" w:cs="Times New Roman"/>
          <w:sz w:val="28"/>
          <w:szCs w:val="28"/>
        </w:rPr>
        <w:t>основными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4A53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EE4A53">
        <w:rPr>
          <w:rFonts w:ascii="Times New Roman" w:eastAsia="Calibri" w:hAnsi="Times New Roman" w:cs="Times New Roman"/>
          <w:sz w:val="28"/>
          <w:szCs w:val="28"/>
        </w:rPr>
        <w:t xml:space="preserve"> факторами из перечисленных выше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303A8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фактора: «широта дискреционных полномочий»</w:t>
      </w:r>
      <w:r w:rsidR="006B49D2">
        <w:rPr>
          <w:rFonts w:ascii="Times New Roman" w:eastAsia="Calibri" w:hAnsi="Times New Roman" w:cs="Times New Roman"/>
          <w:sz w:val="28"/>
          <w:szCs w:val="28"/>
        </w:rPr>
        <w:t>,</w:t>
      </w:r>
      <w:r w:rsidR="00EE4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03A85">
        <w:rPr>
          <w:rFonts w:ascii="Times New Roman" w:eastAsia="Calibri" w:hAnsi="Times New Roman" w:cs="Times New Roman"/>
          <w:sz w:val="28"/>
          <w:szCs w:val="28"/>
        </w:rPr>
        <w:t>, «нормативные коллизии»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E4A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68D9" w:rsidRDefault="00F10AD1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A83887">
        <w:rPr>
          <w:rFonts w:ascii="Times New Roman" w:eastAsia="Calibri" w:hAnsi="Times New Roman" w:cs="Times New Roman"/>
          <w:sz w:val="28"/>
          <w:szCs w:val="28"/>
        </w:rPr>
        <w:t>и ранее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 «широта дискреционных полномочий» и «отсутствие или неполнота административных процедур» выявляются в проектах нормативных правовых актов, определяющих порядки (правила) предоставления государственных услуг, оказания государственной поддержки</w:t>
      </w:r>
      <w:r w:rsidR="006C3ED1">
        <w:rPr>
          <w:rFonts w:ascii="Times New Roman" w:eastAsia="Calibri" w:hAnsi="Times New Roman" w:cs="Times New Roman"/>
          <w:sz w:val="28"/>
          <w:szCs w:val="28"/>
        </w:rPr>
        <w:t>, устанавливающих порядок работы коллегиальных органов (комиссий, советов)</w:t>
      </w:r>
      <w:r>
        <w:rPr>
          <w:rFonts w:ascii="Times New Roman" w:eastAsia="Calibri" w:hAnsi="Times New Roman" w:cs="Times New Roman"/>
          <w:sz w:val="28"/>
          <w:szCs w:val="28"/>
        </w:rPr>
        <w:t>. Такие порядки (правила) предусматривают общие процедуры, необходимые для предоставления государственных услуг, оказания государственной поддержки,</w:t>
      </w:r>
      <w:r w:rsidR="006C3ED1">
        <w:rPr>
          <w:rFonts w:ascii="Times New Roman" w:eastAsia="Calibri" w:hAnsi="Times New Roman" w:cs="Times New Roman"/>
          <w:sz w:val="28"/>
          <w:szCs w:val="28"/>
        </w:rPr>
        <w:t xml:space="preserve"> работы коллегиальных органов</w:t>
      </w:r>
      <w:r w:rsidR="00137C2B">
        <w:rPr>
          <w:rFonts w:ascii="Times New Roman" w:eastAsia="Calibri" w:hAnsi="Times New Roman" w:cs="Times New Roman"/>
          <w:sz w:val="28"/>
          <w:szCs w:val="28"/>
        </w:rPr>
        <w:t>. При этом представляемые разработчиками для проведения антикоррупционной экспертизы проекты нормативных правовых актов, утверждающие указанный порядок (правила),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всегда содержат те либо иные</w:t>
      </w:r>
      <w:r w:rsidR="00137C2B">
        <w:rPr>
          <w:rFonts w:ascii="Times New Roman" w:eastAsia="Calibri" w:hAnsi="Times New Roman" w:cs="Times New Roman"/>
          <w:sz w:val="28"/>
          <w:szCs w:val="28"/>
        </w:rPr>
        <w:t xml:space="preserve"> необходимые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процедурные моменты.</w:t>
      </w:r>
      <w:r w:rsidR="00FC59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AD1" w:rsidRDefault="00B545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FC599E">
        <w:rPr>
          <w:rFonts w:ascii="Times New Roman" w:eastAsia="Calibri" w:hAnsi="Times New Roman" w:cs="Times New Roman"/>
          <w:sz w:val="28"/>
          <w:szCs w:val="28"/>
        </w:rPr>
        <w:t>в отчетном периоде увеличилось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9E">
        <w:rPr>
          <w:rFonts w:ascii="Times New Roman" w:eastAsia="Calibri" w:hAnsi="Times New Roman" w:cs="Times New Roman"/>
          <w:sz w:val="28"/>
          <w:szCs w:val="28"/>
        </w:rPr>
        <w:t>количество проектов нормативных право</w:t>
      </w:r>
      <w:r w:rsidR="000B0984">
        <w:rPr>
          <w:rFonts w:ascii="Times New Roman" w:eastAsia="Calibri" w:hAnsi="Times New Roman" w:cs="Times New Roman"/>
          <w:sz w:val="28"/>
          <w:szCs w:val="28"/>
        </w:rPr>
        <w:t>вых актов, в которых отсутствуют</w:t>
      </w:r>
      <w:r w:rsidR="00FC599E">
        <w:rPr>
          <w:rFonts w:ascii="Times New Roman" w:eastAsia="Calibri" w:hAnsi="Times New Roman" w:cs="Times New Roman"/>
          <w:sz w:val="28"/>
          <w:szCs w:val="28"/>
        </w:rPr>
        <w:t xml:space="preserve"> порядок регистрации органами государственной власти,</w:t>
      </w:r>
      <w:r w:rsidR="00FC599E" w:rsidRPr="00FC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9E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документов, поступающих от заявителей (физических и юридических лиц),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выдачи им расписки в получении документов, </w:t>
      </w:r>
      <w:r w:rsidR="00FC599E">
        <w:rPr>
          <w:rFonts w:ascii="Times New Roman" w:eastAsia="Calibri" w:hAnsi="Times New Roman" w:cs="Times New Roman"/>
          <w:sz w:val="28"/>
          <w:szCs w:val="28"/>
        </w:rPr>
        <w:t xml:space="preserve">возможность повторной подачи документов в случае </w:t>
      </w:r>
      <w:r w:rsidR="00A368D9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C599E">
        <w:rPr>
          <w:rFonts w:ascii="Times New Roman" w:eastAsia="Calibri" w:hAnsi="Times New Roman" w:cs="Times New Roman"/>
          <w:sz w:val="28"/>
          <w:szCs w:val="28"/>
        </w:rPr>
        <w:t xml:space="preserve">возврата заявителю либо отказа </w:t>
      </w:r>
      <w:r w:rsidR="00A368D9">
        <w:rPr>
          <w:rFonts w:ascii="Times New Roman" w:eastAsia="Calibri" w:hAnsi="Times New Roman" w:cs="Times New Roman"/>
          <w:sz w:val="28"/>
          <w:szCs w:val="28"/>
        </w:rPr>
        <w:t xml:space="preserve">заявителю </w:t>
      </w:r>
      <w:r w:rsidR="00FC599E">
        <w:rPr>
          <w:rFonts w:ascii="Times New Roman" w:eastAsia="Calibri" w:hAnsi="Times New Roman" w:cs="Times New Roman"/>
          <w:sz w:val="28"/>
          <w:szCs w:val="28"/>
        </w:rPr>
        <w:t>в предоставлении услуги</w:t>
      </w:r>
      <w:r w:rsidR="00A368D9">
        <w:rPr>
          <w:rFonts w:ascii="Times New Roman" w:eastAsia="Calibri" w:hAnsi="Times New Roman" w:cs="Times New Roman"/>
          <w:sz w:val="28"/>
          <w:szCs w:val="28"/>
        </w:rPr>
        <w:t>, что также является коррупционным фактором «</w:t>
      </w:r>
      <w:r w:rsidR="00A368D9" w:rsidRPr="0044790B">
        <w:rPr>
          <w:rFonts w:ascii="Times New Roman" w:eastAsia="Calibri" w:hAnsi="Times New Roman" w:cs="Times New Roman"/>
          <w:sz w:val="28"/>
          <w:szCs w:val="28"/>
        </w:rPr>
        <w:t>отсутствие или</w:t>
      </w:r>
      <w:proofErr w:type="gramEnd"/>
      <w:r w:rsidR="00A368D9" w:rsidRPr="0044790B">
        <w:rPr>
          <w:rFonts w:ascii="Times New Roman" w:eastAsia="Calibri" w:hAnsi="Times New Roman" w:cs="Times New Roman"/>
          <w:sz w:val="28"/>
          <w:szCs w:val="28"/>
        </w:rPr>
        <w:t xml:space="preserve"> неполнота административных процедур</w:t>
      </w:r>
      <w:r w:rsidR="00A368D9">
        <w:rPr>
          <w:rFonts w:ascii="Times New Roman" w:eastAsia="Calibri" w:hAnsi="Times New Roman" w:cs="Times New Roman"/>
          <w:sz w:val="28"/>
          <w:szCs w:val="28"/>
        </w:rPr>
        <w:t>»</w:t>
      </w:r>
      <w:r w:rsidR="00FC59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3A85" w:rsidRDefault="00303A8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 «нормативные коллизии» выявляется в основном в проектах нормативных правовых актов о внесении изменений в нормативные правовы</w:t>
      </w:r>
      <w:r w:rsidR="00CB42ED">
        <w:rPr>
          <w:rFonts w:ascii="Times New Roman" w:eastAsia="Calibri" w:hAnsi="Times New Roman" w:cs="Times New Roman"/>
          <w:sz w:val="28"/>
          <w:szCs w:val="28"/>
        </w:rPr>
        <w:t>е 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1AB4">
        <w:rPr>
          <w:rFonts w:ascii="Times New Roman" w:eastAsia="Calibri" w:hAnsi="Times New Roman" w:cs="Times New Roman"/>
          <w:sz w:val="28"/>
          <w:szCs w:val="28"/>
        </w:rPr>
        <w:t xml:space="preserve">Основной причиной </w:t>
      </w:r>
      <w:r w:rsidR="00CB42ED">
        <w:rPr>
          <w:rFonts w:ascii="Times New Roman" w:eastAsia="Calibri" w:hAnsi="Times New Roman" w:cs="Times New Roman"/>
          <w:sz w:val="28"/>
          <w:szCs w:val="28"/>
        </w:rPr>
        <w:t xml:space="preserve">выявления в проектах нормативных правовых актов </w:t>
      </w:r>
      <w:r w:rsidR="004438DF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221AB4">
        <w:rPr>
          <w:rFonts w:ascii="Times New Roman" w:eastAsia="Calibri" w:hAnsi="Times New Roman" w:cs="Times New Roman"/>
          <w:sz w:val="28"/>
          <w:szCs w:val="28"/>
        </w:rPr>
        <w:t xml:space="preserve"> фактора является то, что в</w:t>
      </w:r>
      <w:r>
        <w:rPr>
          <w:rFonts w:ascii="Times New Roman" w:eastAsia="Calibri" w:hAnsi="Times New Roman" w:cs="Times New Roman"/>
          <w:sz w:val="28"/>
          <w:szCs w:val="28"/>
        </w:rPr>
        <w:t>несение измене</w:t>
      </w:r>
      <w:r w:rsidR="004438DF">
        <w:rPr>
          <w:rFonts w:ascii="Times New Roman" w:eastAsia="Calibri" w:hAnsi="Times New Roman" w:cs="Times New Roman"/>
          <w:sz w:val="28"/>
          <w:szCs w:val="28"/>
        </w:rPr>
        <w:t>ний в нормативные правовые 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требует </w:t>
      </w:r>
      <w:r w:rsidR="00221AB4">
        <w:rPr>
          <w:rFonts w:ascii="Times New Roman" w:eastAsia="Calibri" w:hAnsi="Times New Roman" w:cs="Times New Roman"/>
          <w:sz w:val="28"/>
          <w:szCs w:val="28"/>
        </w:rPr>
        <w:t>комплексного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подхода</w:t>
      </w:r>
      <w:r w:rsidR="00221AB4">
        <w:rPr>
          <w:rFonts w:ascii="Times New Roman" w:eastAsia="Calibri" w:hAnsi="Times New Roman" w:cs="Times New Roman"/>
          <w:sz w:val="28"/>
          <w:szCs w:val="28"/>
        </w:rPr>
        <w:t>. Как правило, изменение одной нормы акта влечет необходимость корректировки иных его положений.</w:t>
      </w:r>
    </w:p>
    <w:p w:rsidR="00B07282" w:rsidRDefault="00B54527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21585">
        <w:rPr>
          <w:rFonts w:ascii="Times New Roman" w:hAnsi="Times New Roman" w:cs="Times New Roman"/>
          <w:sz w:val="28"/>
          <w:szCs w:val="28"/>
        </w:rPr>
        <w:t xml:space="preserve"> </w:t>
      </w:r>
      <w:r w:rsidR="0092158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7693">
        <w:rPr>
          <w:rFonts w:ascii="Times New Roman" w:eastAsia="Calibri" w:hAnsi="Times New Roman" w:cs="Times New Roman"/>
          <w:sz w:val="28"/>
          <w:szCs w:val="28"/>
        </w:rPr>
        <w:t xml:space="preserve">проектах </w:t>
      </w:r>
      <w:r w:rsidR="00921585" w:rsidRPr="0044790B">
        <w:rPr>
          <w:rFonts w:ascii="Times New Roman" w:eastAsia="Calibri" w:hAnsi="Times New Roman" w:cs="Times New Roman"/>
          <w:sz w:val="28"/>
          <w:szCs w:val="28"/>
        </w:rPr>
        <w:t>нормативных правовых акт</w:t>
      </w:r>
      <w:r w:rsidR="00A8129E">
        <w:rPr>
          <w:rFonts w:ascii="Times New Roman" w:eastAsia="Calibri" w:hAnsi="Times New Roman" w:cs="Times New Roman"/>
          <w:sz w:val="28"/>
          <w:szCs w:val="28"/>
        </w:rPr>
        <w:t>ов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которых в </w:t>
      </w:r>
      <w:r w:rsidR="006C3E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FD4025">
        <w:rPr>
          <w:rFonts w:ascii="Times New Roman" w:eastAsia="Calibri" w:hAnsi="Times New Roman" w:cs="Times New Roman"/>
          <w:sz w:val="28"/>
          <w:szCs w:val="28"/>
        </w:rPr>
        <w:t>7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 г. проводилась антикоррупционная экспертиза,</w:t>
      </w:r>
      <w:r w:rsidR="00921585" w:rsidRPr="0044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585">
        <w:rPr>
          <w:rFonts w:ascii="Times New Roman" w:eastAsia="Calibri" w:hAnsi="Times New Roman" w:cs="Times New Roman"/>
          <w:sz w:val="28"/>
          <w:szCs w:val="28"/>
        </w:rPr>
        <w:t>чаще всего отсутствуют поряд</w:t>
      </w:r>
      <w:r w:rsidR="00045497">
        <w:rPr>
          <w:rFonts w:ascii="Times New Roman" w:eastAsia="Calibri" w:hAnsi="Times New Roman" w:cs="Times New Roman"/>
          <w:sz w:val="28"/>
          <w:szCs w:val="28"/>
        </w:rPr>
        <w:t>о</w:t>
      </w:r>
      <w:r w:rsidR="00921585">
        <w:rPr>
          <w:rFonts w:ascii="Times New Roman" w:eastAsia="Calibri" w:hAnsi="Times New Roman" w:cs="Times New Roman"/>
          <w:sz w:val="28"/>
          <w:szCs w:val="28"/>
        </w:rPr>
        <w:t>к совершения определенных административных процедур,</w:t>
      </w:r>
      <w:r w:rsidR="00045497">
        <w:rPr>
          <w:rFonts w:ascii="Times New Roman" w:eastAsia="Calibri" w:hAnsi="Times New Roman" w:cs="Times New Roman"/>
          <w:sz w:val="28"/>
          <w:szCs w:val="28"/>
        </w:rPr>
        <w:t xml:space="preserve"> не определены сроки тех или иных </w:t>
      </w:r>
      <w:r w:rsidR="00A83887">
        <w:rPr>
          <w:rFonts w:ascii="Times New Roman" w:eastAsia="Calibri" w:hAnsi="Times New Roman" w:cs="Times New Roman"/>
          <w:sz w:val="28"/>
          <w:szCs w:val="28"/>
        </w:rPr>
        <w:t xml:space="preserve">процедур </w:t>
      </w:r>
      <w:r w:rsidR="00045497">
        <w:rPr>
          <w:rFonts w:ascii="Times New Roman" w:eastAsia="Calibri" w:hAnsi="Times New Roman" w:cs="Times New Roman"/>
          <w:sz w:val="28"/>
          <w:szCs w:val="28"/>
        </w:rPr>
        <w:t xml:space="preserve">принятия решений, отсутствуют </w:t>
      </w:r>
      <w:r w:rsidR="00921585">
        <w:rPr>
          <w:rFonts w:ascii="Times New Roman" w:eastAsia="Calibri" w:hAnsi="Times New Roman" w:cs="Times New Roman"/>
          <w:sz w:val="28"/>
          <w:szCs w:val="28"/>
        </w:rPr>
        <w:t>усло</w:t>
      </w:r>
      <w:r w:rsidR="006C3ED1">
        <w:rPr>
          <w:rFonts w:ascii="Times New Roman" w:eastAsia="Calibri" w:hAnsi="Times New Roman" w:cs="Times New Roman"/>
          <w:sz w:val="28"/>
          <w:szCs w:val="28"/>
        </w:rPr>
        <w:t>вия и критерии принятия решений</w:t>
      </w:r>
      <w:r w:rsidR="00FD4025">
        <w:rPr>
          <w:rFonts w:ascii="Times New Roman" w:eastAsia="Calibri" w:hAnsi="Times New Roman" w:cs="Times New Roman"/>
          <w:sz w:val="28"/>
          <w:szCs w:val="28"/>
        </w:rPr>
        <w:t>, имеются внутр</w:t>
      </w:r>
      <w:r w:rsidR="000B0984">
        <w:rPr>
          <w:rFonts w:ascii="Times New Roman" w:eastAsia="Calibri" w:hAnsi="Times New Roman" w:cs="Times New Roman"/>
          <w:sz w:val="28"/>
          <w:szCs w:val="28"/>
        </w:rPr>
        <w:t>енние противоречия между положениями</w:t>
      </w:r>
      <w:r w:rsidR="00FD4025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FD4025" w:rsidRPr="00FD4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025" w:rsidRPr="0044790B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FD4025">
        <w:rPr>
          <w:rFonts w:ascii="Times New Roman" w:eastAsia="Calibri" w:hAnsi="Times New Roman" w:cs="Times New Roman"/>
          <w:sz w:val="28"/>
          <w:szCs w:val="28"/>
        </w:rPr>
        <w:t>ого</w:t>
      </w:r>
      <w:r w:rsidR="00FD4025" w:rsidRPr="0044790B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FD4025">
        <w:rPr>
          <w:rFonts w:ascii="Times New Roman" w:eastAsia="Calibri" w:hAnsi="Times New Roman" w:cs="Times New Roman"/>
          <w:sz w:val="28"/>
          <w:szCs w:val="28"/>
        </w:rPr>
        <w:t>ого</w:t>
      </w:r>
      <w:r w:rsidR="00FD4025" w:rsidRPr="0044790B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D4025">
        <w:rPr>
          <w:rFonts w:ascii="Times New Roman" w:eastAsia="Calibri" w:hAnsi="Times New Roman" w:cs="Times New Roman"/>
          <w:sz w:val="28"/>
          <w:szCs w:val="28"/>
        </w:rPr>
        <w:t>а</w:t>
      </w:r>
      <w:r w:rsidR="009215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A75D0" w:rsidRPr="00267AE2" w:rsidRDefault="00C4716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176C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60B9B">
        <w:rPr>
          <w:rFonts w:ascii="Times New Roman" w:hAnsi="Times New Roman" w:cs="Times New Roman"/>
          <w:sz w:val="28"/>
          <w:szCs w:val="28"/>
        </w:rPr>
        <w:t>201</w:t>
      </w:r>
      <w:r w:rsidR="00B07282">
        <w:rPr>
          <w:rFonts w:ascii="Times New Roman" w:hAnsi="Times New Roman" w:cs="Times New Roman"/>
          <w:sz w:val="28"/>
          <w:szCs w:val="28"/>
        </w:rPr>
        <w:t>7</w:t>
      </w:r>
      <w:r w:rsidR="00660B9B">
        <w:rPr>
          <w:rFonts w:ascii="Times New Roman" w:hAnsi="Times New Roman" w:cs="Times New Roman"/>
          <w:sz w:val="28"/>
          <w:szCs w:val="28"/>
        </w:rPr>
        <w:t xml:space="preserve"> г</w:t>
      </w:r>
      <w:r w:rsidR="00AC785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 (в сравнении с </w:t>
      </w:r>
      <w:r w:rsidR="00B072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159">
        <w:rPr>
          <w:rFonts w:ascii="Times New Roman" w:hAnsi="Times New Roman" w:cs="Times New Roman"/>
          <w:sz w:val="28"/>
          <w:szCs w:val="28"/>
        </w:rPr>
        <w:t xml:space="preserve"> полугодием 201</w:t>
      </w:r>
      <w:r w:rsidR="00187ACF">
        <w:rPr>
          <w:rFonts w:ascii="Times New Roman" w:hAnsi="Times New Roman" w:cs="Times New Roman"/>
          <w:sz w:val="28"/>
          <w:szCs w:val="28"/>
        </w:rPr>
        <w:t>6</w:t>
      </w:r>
      <w:r w:rsidR="00267AE2">
        <w:rPr>
          <w:rFonts w:ascii="Times New Roman" w:hAnsi="Times New Roman" w:cs="Times New Roman"/>
          <w:sz w:val="28"/>
          <w:szCs w:val="28"/>
        </w:rPr>
        <w:t xml:space="preserve"> г</w:t>
      </w:r>
      <w:r w:rsidR="00901BA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1835F4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0F1FD3">
        <w:rPr>
          <w:rFonts w:ascii="Times New Roman" w:hAnsi="Times New Roman" w:cs="Times New Roman"/>
          <w:sz w:val="28"/>
          <w:szCs w:val="28"/>
        </w:rPr>
        <w:t>у</w:t>
      </w:r>
      <w:r w:rsidR="00B07282">
        <w:rPr>
          <w:rFonts w:ascii="Times New Roman" w:hAnsi="Times New Roman" w:cs="Times New Roman"/>
          <w:sz w:val="28"/>
          <w:szCs w:val="28"/>
        </w:rPr>
        <w:t>велич</w:t>
      </w:r>
      <w:r w:rsidR="000F1FD3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0F1FD3" w:rsidRPr="001835F4">
        <w:rPr>
          <w:rFonts w:ascii="Times New Roman" w:hAnsi="Times New Roman" w:cs="Times New Roman"/>
          <w:sz w:val="28"/>
          <w:szCs w:val="28"/>
        </w:rPr>
        <w:t>количество нормативных правовых актов, в отношении которых Администрацией была проведена антикоррупционная экспертиза (с</w:t>
      </w:r>
      <w:r w:rsidR="000F1FD3">
        <w:rPr>
          <w:rFonts w:ascii="Times New Roman" w:hAnsi="Times New Roman" w:cs="Times New Roman"/>
          <w:sz w:val="28"/>
          <w:szCs w:val="28"/>
        </w:rPr>
        <w:t xml:space="preserve"> </w:t>
      </w:r>
      <w:r w:rsidR="00B07282">
        <w:rPr>
          <w:rFonts w:ascii="Times New Roman" w:hAnsi="Times New Roman" w:cs="Times New Roman"/>
          <w:sz w:val="28"/>
          <w:szCs w:val="28"/>
        </w:rPr>
        <w:t>10</w:t>
      </w:r>
      <w:r w:rsidR="000F1FD3">
        <w:rPr>
          <w:rFonts w:ascii="Times New Roman" w:hAnsi="Times New Roman" w:cs="Times New Roman"/>
          <w:sz w:val="28"/>
          <w:szCs w:val="28"/>
        </w:rPr>
        <w:t xml:space="preserve"> до 1</w:t>
      </w:r>
      <w:r w:rsidR="00B07282">
        <w:rPr>
          <w:rFonts w:ascii="Times New Roman" w:hAnsi="Times New Roman" w:cs="Times New Roman"/>
          <w:sz w:val="28"/>
          <w:szCs w:val="28"/>
        </w:rPr>
        <w:t>9</w:t>
      </w:r>
      <w:r w:rsidR="000F1FD3" w:rsidRPr="001835F4">
        <w:rPr>
          <w:rFonts w:ascii="Times New Roman" w:hAnsi="Times New Roman" w:cs="Times New Roman"/>
          <w:sz w:val="28"/>
          <w:szCs w:val="28"/>
        </w:rPr>
        <w:t>);</w:t>
      </w:r>
    </w:p>
    <w:p w:rsidR="00B07282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835F4">
        <w:rPr>
          <w:rFonts w:ascii="Times New Roman" w:hAnsi="Times New Roman" w:cs="Times New Roman"/>
          <w:sz w:val="28"/>
          <w:szCs w:val="28"/>
        </w:rPr>
        <w:t xml:space="preserve">) </w:t>
      </w:r>
      <w:r w:rsidR="00B07282">
        <w:rPr>
          <w:rFonts w:ascii="Times New Roman" w:hAnsi="Times New Roman" w:cs="Times New Roman"/>
          <w:sz w:val="28"/>
          <w:szCs w:val="28"/>
        </w:rPr>
        <w:t>уменьшилось количество нормативных правовых актов</w:t>
      </w:r>
      <w:r w:rsidR="00544025">
        <w:rPr>
          <w:rFonts w:ascii="Times New Roman" w:hAnsi="Times New Roman" w:cs="Times New Roman"/>
          <w:sz w:val="28"/>
          <w:szCs w:val="28"/>
        </w:rPr>
        <w:t>, в отношении которых в отчетном периоде Администрацией проведена антикоррупционная экспертиза в соответствии с Планом и</w:t>
      </w:r>
      <w:r w:rsidR="00B07282">
        <w:rPr>
          <w:rFonts w:ascii="Times New Roman" w:hAnsi="Times New Roman" w:cs="Times New Roman"/>
          <w:sz w:val="28"/>
          <w:szCs w:val="28"/>
        </w:rPr>
        <w:t xml:space="preserve"> в которых выявлены </w:t>
      </w:r>
      <w:proofErr w:type="spellStart"/>
      <w:r w:rsidR="00B0728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B07282">
        <w:rPr>
          <w:rFonts w:ascii="Times New Roman" w:hAnsi="Times New Roman" w:cs="Times New Roman"/>
          <w:sz w:val="28"/>
          <w:szCs w:val="28"/>
        </w:rPr>
        <w:t xml:space="preserve"> факторы (с 3 до 2);</w:t>
      </w:r>
    </w:p>
    <w:p w:rsidR="001835F4" w:rsidRDefault="0054402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1BA3">
        <w:rPr>
          <w:rFonts w:ascii="Times New Roman" w:hAnsi="Times New Roman" w:cs="Times New Roman"/>
          <w:sz w:val="28"/>
          <w:szCs w:val="28"/>
        </w:rPr>
        <w:t>у</w:t>
      </w:r>
      <w:r w:rsidR="00B07282">
        <w:rPr>
          <w:rFonts w:ascii="Times New Roman" w:hAnsi="Times New Roman" w:cs="Times New Roman"/>
          <w:sz w:val="28"/>
          <w:szCs w:val="28"/>
        </w:rPr>
        <w:t>велич</w:t>
      </w:r>
      <w:r w:rsidR="00901BA3">
        <w:rPr>
          <w:rFonts w:ascii="Times New Roman" w:hAnsi="Times New Roman" w:cs="Times New Roman"/>
          <w:sz w:val="28"/>
          <w:szCs w:val="28"/>
        </w:rPr>
        <w:t>илось</w:t>
      </w:r>
      <w:r w:rsidR="008A7368">
        <w:rPr>
          <w:rFonts w:ascii="Times New Roman" w:hAnsi="Times New Roman" w:cs="Times New Roman"/>
          <w:sz w:val="28"/>
          <w:szCs w:val="28"/>
        </w:rPr>
        <w:t xml:space="preserve"> 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901BA3" w:rsidRPr="001835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01BA3" w:rsidRPr="001835F4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901BA3">
        <w:rPr>
          <w:rFonts w:ascii="Times New Roman" w:hAnsi="Times New Roman" w:cs="Times New Roman"/>
          <w:sz w:val="28"/>
          <w:szCs w:val="28"/>
        </w:rPr>
        <w:t>,</w:t>
      </w:r>
      <w:r w:rsidR="00901BA3" w:rsidRPr="001835F4">
        <w:rPr>
          <w:rFonts w:ascii="Times New Roman" w:hAnsi="Times New Roman" w:cs="Times New Roman"/>
          <w:sz w:val="28"/>
          <w:szCs w:val="28"/>
        </w:rPr>
        <w:t xml:space="preserve"> 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901BA3" w:rsidRPr="001835F4">
        <w:rPr>
          <w:rFonts w:ascii="Times New Roman" w:hAnsi="Times New Roman" w:cs="Times New Roman"/>
          <w:sz w:val="28"/>
          <w:szCs w:val="28"/>
        </w:rPr>
        <w:t>в нормативных правовых актах</w:t>
      </w:r>
      <w:r w:rsidR="00901BA3">
        <w:rPr>
          <w:rFonts w:ascii="Times New Roman" w:hAnsi="Times New Roman" w:cs="Times New Roman"/>
          <w:sz w:val="28"/>
          <w:szCs w:val="28"/>
        </w:rPr>
        <w:t>, в отношении которых в отчетном периоде Администрацией проведена антикоррупционная экспертиза</w:t>
      </w:r>
      <w:r w:rsidR="003D3E96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901BA3" w:rsidRPr="001835F4">
        <w:rPr>
          <w:rFonts w:ascii="Times New Roman" w:hAnsi="Times New Roman" w:cs="Times New Roman"/>
          <w:sz w:val="28"/>
          <w:szCs w:val="28"/>
        </w:rPr>
        <w:t xml:space="preserve"> 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(с </w:t>
      </w:r>
      <w:r w:rsidR="00B07282">
        <w:rPr>
          <w:rFonts w:ascii="Times New Roman" w:hAnsi="Times New Roman" w:cs="Times New Roman"/>
          <w:sz w:val="28"/>
          <w:szCs w:val="28"/>
        </w:rPr>
        <w:t>7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 до </w:t>
      </w:r>
      <w:r w:rsidR="00B07282">
        <w:rPr>
          <w:rFonts w:ascii="Times New Roman" w:hAnsi="Times New Roman" w:cs="Times New Roman"/>
          <w:sz w:val="28"/>
          <w:szCs w:val="28"/>
        </w:rPr>
        <w:t>12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 факторов);</w:t>
      </w:r>
    </w:p>
    <w:p w:rsidR="00901BA3" w:rsidRDefault="0054402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901BA3">
        <w:rPr>
          <w:rFonts w:ascii="Times New Roman" w:hAnsi="Times New Roman" w:cs="Times New Roman"/>
          <w:sz w:val="28"/>
          <w:szCs w:val="28"/>
        </w:rPr>
        <w:t>у</w:t>
      </w:r>
      <w:r w:rsidR="00303A85">
        <w:rPr>
          <w:rFonts w:ascii="Times New Roman" w:hAnsi="Times New Roman" w:cs="Times New Roman"/>
          <w:sz w:val="28"/>
          <w:szCs w:val="28"/>
        </w:rPr>
        <w:t>меньш</w:t>
      </w:r>
      <w:r w:rsidR="00901BA3">
        <w:rPr>
          <w:rFonts w:ascii="Times New Roman" w:hAnsi="Times New Roman" w:cs="Times New Roman"/>
          <w:sz w:val="28"/>
          <w:szCs w:val="28"/>
        </w:rPr>
        <w:t xml:space="preserve">илась доля </w:t>
      </w:r>
      <w:proofErr w:type="spellStart"/>
      <w:r w:rsidR="00901BA3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901BA3">
        <w:rPr>
          <w:rFonts w:ascii="Times New Roman" w:hAnsi="Times New Roman" w:cs="Times New Roman"/>
          <w:sz w:val="28"/>
          <w:szCs w:val="28"/>
        </w:rPr>
        <w:t xml:space="preserve"> фактора «широта дискреционных полномочий»</w:t>
      </w:r>
      <w:r w:rsidR="001252CE">
        <w:rPr>
          <w:rFonts w:ascii="Times New Roman" w:hAnsi="Times New Roman" w:cs="Times New Roman"/>
          <w:sz w:val="28"/>
          <w:szCs w:val="28"/>
        </w:rPr>
        <w:t>,</w:t>
      </w:r>
      <w:r w:rsidR="00901BA3">
        <w:rPr>
          <w:rFonts w:ascii="Times New Roman" w:hAnsi="Times New Roman" w:cs="Times New Roman"/>
          <w:sz w:val="28"/>
          <w:szCs w:val="28"/>
        </w:rPr>
        <w:t xml:space="preserve"> </w:t>
      </w:r>
      <w:r w:rsidR="001252CE">
        <w:rPr>
          <w:rFonts w:ascii="Times New Roman" w:hAnsi="Times New Roman" w:cs="Times New Roman"/>
          <w:sz w:val="28"/>
          <w:szCs w:val="28"/>
        </w:rPr>
        <w:t xml:space="preserve">выявленного в действующих нормативных правовых актах, </w:t>
      </w:r>
      <w:r w:rsidR="00901BA3">
        <w:rPr>
          <w:rFonts w:ascii="Times New Roman" w:hAnsi="Times New Roman" w:cs="Times New Roman"/>
          <w:sz w:val="28"/>
          <w:szCs w:val="28"/>
        </w:rPr>
        <w:t xml:space="preserve">в общем количестве выявленных в отчетном периоде факторов (с </w:t>
      </w:r>
      <w:r w:rsidR="001252CE">
        <w:rPr>
          <w:rFonts w:ascii="Times New Roman" w:hAnsi="Times New Roman" w:cs="Times New Roman"/>
          <w:sz w:val="28"/>
          <w:szCs w:val="28"/>
        </w:rPr>
        <w:t>29</w:t>
      </w:r>
      <w:r w:rsidR="00901BA3">
        <w:rPr>
          <w:rFonts w:ascii="Times New Roman" w:hAnsi="Times New Roman" w:cs="Times New Roman"/>
          <w:sz w:val="28"/>
          <w:szCs w:val="28"/>
        </w:rPr>
        <w:t xml:space="preserve">% до </w:t>
      </w:r>
      <w:r w:rsidR="001252CE">
        <w:rPr>
          <w:rFonts w:ascii="Times New Roman" w:hAnsi="Times New Roman" w:cs="Times New Roman"/>
          <w:sz w:val="28"/>
          <w:szCs w:val="28"/>
        </w:rPr>
        <w:t>1</w:t>
      </w:r>
      <w:r w:rsidR="00DA57C0">
        <w:rPr>
          <w:rFonts w:ascii="Times New Roman" w:hAnsi="Times New Roman" w:cs="Times New Roman"/>
          <w:sz w:val="28"/>
          <w:szCs w:val="28"/>
        </w:rPr>
        <w:t>6,</w:t>
      </w:r>
      <w:r w:rsidR="001252CE">
        <w:rPr>
          <w:rFonts w:ascii="Times New Roman" w:hAnsi="Times New Roman" w:cs="Times New Roman"/>
          <w:sz w:val="28"/>
          <w:szCs w:val="28"/>
        </w:rPr>
        <w:t>7</w:t>
      </w:r>
      <w:r w:rsidR="00901BA3">
        <w:rPr>
          <w:rFonts w:ascii="Times New Roman" w:hAnsi="Times New Roman" w:cs="Times New Roman"/>
          <w:sz w:val="28"/>
          <w:szCs w:val="28"/>
        </w:rPr>
        <w:t>%);</w:t>
      </w:r>
    </w:p>
    <w:p w:rsidR="00901BA3" w:rsidRDefault="0054402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1B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901BA3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901BA3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901BA3">
        <w:rPr>
          <w:rFonts w:ascii="Times New Roman" w:hAnsi="Times New Roman" w:cs="Times New Roman"/>
          <w:sz w:val="28"/>
          <w:szCs w:val="28"/>
        </w:rPr>
        <w:t xml:space="preserve"> фактора «отсутствие или неполнота административных процедур»</w:t>
      </w:r>
      <w:r w:rsidR="001252CE">
        <w:rPr>
          <w:rFonts w:ascii="Times New Roman" w:hAnsi="Times New Roman" w:cs="Times New Roman"/>
          <w:sz w:val="28"/>
          <w:szCs w:val="28"/>
        </w:rPr>
        <w:t>, выявленного в действующих нормативных правовых актах,</w:t>
      </w:r>
      <w:r w:rsidR="00901BA3">
        <w:rPr>
          <w:rFonts w:ascii="Times New Roman" w:hAnsi="Times New Roman" w:cs="Times New Roman"/>
          <w:sz w:val="28"/>
          <w:szCs w:val="28"/>
        </w:rPr>
        <w:t xml:space="preserve"> в общем количестве выявленных в отчетном периоде факторов (с </w:t>
      </w:r>
      <w:r w:rsidR="001252CE">
        <w:rPr>
          <w:rFonts w:ascii="Times New Roman" w:hAnsi="Times New Roman" w:cs="Times New Roman"/>
          <w:sz w:val="28"/>
          <w:szCs w:val="28"/>
        </w:rPr>
        <w:t>29</w:t>
      </w:r>
      <w:r w:rsidR="00901BA3">
        <w:rPr>
          <w:rFonts w:ascii="Times New Roman" w:hAnsi="Times New Roman" w:cs="Times New Roman"/>
          <w:sz w:val="28"/>
          <w:szCs w:val="28"/>
        </w:rPr>
        <w:t xml:space="preserve">% до </w:t>
      </w:r>
      <w:r w:rsidR="001252CE">
        <w:rPr>
          <w:rFonts w:ascii="Times New Roman" w:hAnsi="Times New Roman" w:cs="Times New Roman"/>
          <w:sz w:val="28"/>
          <w:szCs w:val="28"/>
        </w:rPr>
        <w:t>25</w:t>
      </w:r>
      <w:r w:rsidR="00901BA3">
        <w:rPr>
          <w:rFonts w:ascii="Times New Roman" w:hAnsi="Times New Roman" w:cs="Times New Roman"/>
          <w:sz w:val="28"/>
          <w:szCs w:val="28"/>
        </w:rPr>
        <w:t>%);</w:t>
      </w:r>
    </w:p>
    <w:p w:rsidR="00303A85" w:rsidRDefault="0054402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0A32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1252CE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303A8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303A85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303A85">
        <w:rPr>
          <w:rFonts w:ascii="Times New Roman" w:hAnsi="Times New Roman" w:cs="Times New Roman"/>
          <w:sz w:val="28"/>
          <w:szCs w:val="28"/>
        </w:rPr>
        <w:t xml:space="preserve"> фактора «нормативные коллизии»</w:t>
      </w:r>
      <w:r w:rsidR="001252CE">
        <w:rPr>
          <w:rFonts w:ascii="Times New Roman" w:hAnsi="Times New Roman" w:cs="Times New Roman"/>
          <w:sz w:val="28"/>
          <w:szCs w:val="28"/>
        </w:rPr>
        <w:t>, выявленного в действующих нормативных правовых актах,</w:t>
      </w:r>
      <w:r w:rsidR="00303A85">
        <w:rPr>
          <w:rFonts w:ascii="Times New Roman" w:hAnsi="Times New Roman" w:cs="Times New Roman"/>
          <w:sz w:val="28"/>
          <w:szCs w:val="28"/>
        </w:rPr>
        <w:t xml:space="preserve"> в общем количестве выявленных в отчетном периоде факторов (с </w:t>
      </w:r>
      <w:r w:rsidR="001252CE">
        <w:rPr>
          <w:rFonts w:ascii="Times New Roman" w:hAnsi="Times New Roman" w:cs="Times New Roman"/>
          <w:sz w:val="28"/>
          <w:szCs w:val="28"/>
        </w:rPr>
        <w:t>29</w:t>
      </w:r>
      <w:r w:rsidR="00303A85">
        <w:rPr>
          <w:rFonts w:ascii="Times New Roman" w:hAnsi="Times New Roman" w:cs="Times New Roman"/>
          <w:sz w:val="28"/>
          <w:szCs w:val="28"/>
        </w:rPr>
        <w:t xml:space="preserve">% до </w:t>
      </w:r>
      <w:r w:rsidR="001252CE">
        <w:rPr>
          <w:rFonts w:ascii="Times New Roman" w:hAnsi="Times New Roman" w:cs="Times New Roman"/>
          <w:sz w:val="28"/>
          <w:szCs w:val="28"/>
        </w:rPr>
        <w:t>8,3</w:t>
      </w:r>
      <w:r w:rsidR="00303A85">
        <w:rPr>
          <w:rFonts w:ascii="Times New Roman" w:hAnsi="Times New Roman" w:cs="Times New Roman"/>
          <w:sz w:val="28"/>
          <w:szCs w:val="28"/>
        </w:rPr>
        <w:t>%);</w:t>
      </w:r>
    </w:p>
    <w:p w:rsidR="001252CE" w:rsidRDefault="0054402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303A85">
        <w:rPr>
          <w:rFonts w:ascii="Times New Roman" w:hAnsi="Times New Roman" w:cs="Times New Roman"/>
          <w:sz w:val="28"/>
          <w:szCs w:val="28"/>
        </w:rPr>
        <w:t xml:space="preserve">) </w:t>
      </w:r>
      <w:r w:rsidR="00901BA3">
        <w:rPr>
          <w:rFonts w:ascii="Times New Roman" w:hAnsi="Times New Roman" w:cs="Times New Roman"/>
          <w:sz w:val="28"/>
          <w:szCs w:val="28"/>
        </w:rPr>
        <w:t xml:space="preserve">в отчетном периоде выявлен </w:t>
      </w:r>
      <w:proofErr w:type="spellStart"/>
      <w:r w:rsidR="00901BA3">
        <w:rPr>
          <w:rFonts w:ascii="Times New Roman" w:hAnsi="Times New Roman" w:cs="Times New Roman"/>
          <w:sz w:val="28"/>
          <w:szCs w:val="28"/>
        </w:rPr>
        <w:t>коррупциогенны</w:t>
      </w:r>
      <w:r w:rsidR="001252C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1BA3">
        <w:rPr>
          <w:rFonts w:ascii="Times New Roman" w:hAnsi="Times New Roman" w:cs="Times New Roman"/>
          <w:sz w:val="28"/>
          <w:szCs w:val="28"/>
        </w:rPr>
        <w:t xml:space="preserve"> фактор, которы</w:t>
      </w:r>
      <w:r w:rsidR="001252CE">
        <w:rPr>
          <w:rFonts w:ascii="Times New Roman" w:hAnsi="Times New Roman" w:cs="Times New Roman"/>
          <w:sz w:val="28"/>
          <w:szCs w:val="28"/>
        </w:rPr>
        <w:t>й</w:t>
      </w:r>
      <w:r w:rsidR="00901BA3">
        <w:rPr>
          <w:rFonts w:ascii="Times New Roman" w:hAnsi="Times New Roman" w:cs="Times New Roman"/>
          <w:sz w:val="28"/>
          <w:szCs w:val="28"/>
        </w:rPr>
        <w:t xml:space="preserve"> не выявлял</w:t>
      </w:r>
      <w:r w:rsidR="001252CE">
        <w:rPr>
          <w:rFonts w:ascii="Times New Roman" w:hAnsi="Times New Roman" w:cs="Times New Roman"/>
          <w:sz w:val="28"/>
          <w:szCs w:val="28"/>
        </w:rPr>
        <w:t>ся</w:t>
      </w:r>
      <w:r w:rsidR="00901BA3">
        <w:rPr>
          <w:rFonts w:ascii="Times New Roman" w:hAnsi="Times New Roman" w:cs="Times New Roman"/>
          <w:sz w:val="28"/>
          <w:szCs w:val="28"/>
        </w:rPr>
        <w:t xml:space="preserve"> в</w:t>
      </w:r>
      <w:r w:rsidR="00303A85">
        <w:rPr>
          <w:rFonts w:ascii="Times New Roman" w:hAnsi="Times New Roman" w:cs="Times New Roman"/>
          <w:sz w:val="28"/>
          <w:szCs w:val="28"/>
        </w:rPr>
        <w:t xml:space="preserve"> предыдущем отчетном периоде</w:t>
      </w:r>
      <w:r w:rsidR="00901BA3">
        <w:rPr>
          <w:rFonts w:ascii="Times New Roman" w:hAnsi="Times New Roman" w:cs="Times New Roman"/>
          <w:sz w:val="28"/>
          <w:szCs w:val="28"/>
        </w:rPr>
        <w:t xml:space="preserve">: </w:t>
      </w:r>
      <w:r w:rsidR="001252CE">
        <w:rPr>
          <w:rFonts w:ascii="Times New Roman" w:eastAsia="Calibri" w:hAnsi="Times New Roman" w:cs="Times New Roman"/>
          <w:sz w:val="28"/>
          <w:szCs w:val="28"/>
        </w:rPr>
        <w:t>«</w:t>
      </w:r>
      <w:r w:rsidR="001252CE" w:rsidRPr="00FF1BF5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1252CE">
        <w:rPr>
          <w:rFonts w:ascii="Times New Roman" w:eastAsia="Calibri" w:hAnsi="Times New Roman" w:cs="Times New Roman"/>
          <w:sz w:val="28"/>
          <w:szCs w:val="28"/>
        </w:rPr>
        <w:t>» (5 факторов, что составляет 4</w:t>
      </w:r>
      <w:r w:rsidR="00DA57C0">
        <w:rPr>
          <w:rFonts w:ascii="Times New Roman" w:eastAsia="Calibri" w:hAnsi="Times New Roman" w:cs="Times New Roman"/>
          <w:sz w:val="28"/>
          <w:szCs w:val="28"/>
        </w:rPr>
        <w:t>1,7</w:t>
      </w:r>
      <w:r w:rsidR="001252CE">
        <w:rPr>
          <w:rFonts w:ascii="Times New Roman" w:eastAsia="Calibri" w:hAnsi="Times New Roman" w:cs="Times New Roman"/>
          <w:sz w:val="28"/>
          <w:szCs w:val="28"/>
        </w:rPr>
        <w:t xml:space="preserve"> % от общего количества факторов, выявленных в нормативных правовых актах в анализируемом периоде);</w:t>
      </w:r>
    </w:p>
    <w:p w:rsidR="00303A85" w:rsidRPr="000F4397" w:rsidRDefault="0054402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3A85">
        <w:rPr>
          <w:rFonts w:ascii="Times New Roman" w:hAnsi="Times New Roman" w:cs="Times New Roman"/>
          <w:sz w:val="28"/>
          <w:szCs w:val="28"/>
        </w:rPr>
        <w:t xml:space="preserve">) </w:t>
      </w:r>
      <w:r w:rsidR="001252CE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нормативных правовых актов </w:t>
      </w:r>
      <w:r w:rsidR="00303A85">
        <w:rPr>
          <w:rFonts w:ascii="Times New Roman" w:hAnsi="Times New Roman" w:cs="Times New Roman"/>
          <w:sz w:val="28"/>
          <w:szCs w:val="28"/>
        </w:rPr>
        <w:t>не выявлял</w:t>
      </w:r>
      <w:r w:rsidR="00765BD0">
        <w:rPr>
          <w:rFonts w:ascii="Times New Roman" w:hAnsi="Times New Roman" w:cs="Times New Roman"/>
          <w:sz w:val="28"/>
          <w:szCs w:val="28"/>
        </w:rPr>
        <w:t>ся</w:t>
      </w:r>
      <w:r w:rsidR="00303A85">
        <w:rPr>
          <w:rFonts w:ascii="Times New Roman" w:hAnsi="Times New Roman" w:cs="Times New Roman"/>
          <w:sz w:val="28"/>
          <w:szCs w:val="28"/>
        </w:rPr>
        <w:t xml:space="preserve"> так</w:t>
      </w:r>
      <w:r w:rsidR="00765BD0">
        <w:rPr>
          <w:rFonts w:ascii="Times New Roman" w:hAnsi="Times New Roman" w:cs="Times New Roman"/>
          <w:sz w:val="28"/>
          <w:szCs w:val="28"/>
        </w:rPr>
        <w:t>ой</w:t>
      </w:r>
      <w:r w:rsidR="0030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A85">
        <w:rPr>
          <w:rFonts w:ascii="Times New Roman" w:hAnsi="Times New Roman" w:cs="Times New Roman"/>
          <w:sz w:val="28"/>
          <w:szCs w:val="28"/>
        </w:rPr>
        <w:t>коррупциогенны</w:t>
      </w:r>
      <w:r w:rsidR="00765BD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03A85">
        <w:rPr>
          <w:rFonts w:ascii="Times New Roman" w:hAnsi="Times New Roman" w:cs="Times New Roman"/>
          <w:sz w:val="28"/>
          <w:szCs w:val="28"/>
        </w:rPr>
        <w:t xml:space="preserve"> фактор, выявленны</w:t>
      </w:r>
      <w:r w:rsidR="00765BD0">
        <w:rPr>
          <w:rFonts w:ascii="Times New Roman" w:hAnsi="Times New Roman" w:cs="Times New Roman"/>
          <w:sz w:val="28"/>
          <w:szCs w:val="28"/>
        </w:rPr>
        <w:t>й</w:t>
      </w:r>
      <w:r w:rsidR="00303A85">
        <w:rPr>
          <w:rFonts w:ascii="Times New Roman" w:hAnsi="Times New Roman" w:cs="Times New Roman"/>
          <w:sz w:val="28"/>
          <w:szCs w:val="28"/>
        </w:rPr>
        <w:t xml:space="preserve"> в предыдущем отчетном периоде, </w:t>
      </w:r>
      <w:r w:rsidR="00303A85" w:rsidRPr="00800CF6">
        <w:rPr>
          <w:rFonts w:ascii="Times New Roman" w:hAnsi="Times New Roman" w:cs="Times New Roman"/>
          <w:sz w:val="28"/>
          <w:szCs w:val="28"/>
        </w:rPr>
        <w:t>как</w:t>
      </w:r>
      <w:r w:rsidR="00303A85">
        <w:rPr>
          <w:rFonts w:ascii="Times New Roman" w:hAnsi="Times New Roman" w:cs="Times New Roman"/>
          <w:sz w:val="28"/>
          <w:szCs w:val="28"/>
        </w:rPr>
        <w:t xml:space="preserve"> </w:t>
      </w:r>
      <w:r w:rsidR="001252CE">
        <w:rPr>
          <w:rFonts w:ascii="Times New Roman" w:hAnsi="Times New Roman" w:cs="Times New Roman"/>
          <w:sz w:val="28"/>
          <w:szCs w:val="28"/>
        </w:rPr>
        <w:t>«о</w:t>
      </w:r>
      <w:r w:rsidR="001252CE" w:rsidRPr="00303A85">
        <w:rPr>
          <w:rFonts w:ascii="Times New Roman" w:hAnsi="Times New Roman" w:cs="Times New Roman"/>
          <w:sz w:val="28"/>
          <w:szCs w:val="28"/>
        </w:rPr>
        <w:t>пределение компетенции по формуле «вправе</w:t>
      </w:r>
      <w:r w:rsidR="001252CE">
        <w:rPr>
          <w:rFonts w:ascii="Times New Roman" w:hAnsi="Times New Roman" w:cs="Times New Roman"/>
          <w:sz w:val="28"/>
          <w:szCs w:val="28"/>
        </w:rPr>
        <w:t>»</w:t>
      </w:r>
      <w:r w:rsidR="000C3973">
        <w:rPr>
          <w:rFonts w:ascii="Times New Roman" w:hAnsi="Times New Roman" w:cs="Times New Roman"/>
          <w:sz w:val="28"/>
          <w:szCs w:val="28"/>
        </w:rPr>
        <w:t>;</w:t>
      </w:r>
    </w:p>
    <w:p w:rsidR="000C3973" w:rsidRDefault="0054402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C3973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0C3973">
        <w:rPr>
          <w:rFonts w:ascii="Times New Roman" w:eastAsia="Calibri" w:hAnsi="Times New Roman" w:cs="Times New Roman"/>
          <w:sz w:val="28"/>
          <w:szCs w:val="28"/>
        </w:rPr>
        <w:t xml:space="preserve"> факторами, наиболее часто выявляемыми </w:t>
      </w:r>
      <w:r w:rsidR="000C3973" w:rsidRPr="000F4397">
        <w:rPr>
          <w:rFonts w:ascii="Times New Roman" w:eastAsia="Calibri" w:hAnsi="Times New Roman" w:cs="Times New Roman"/>
          <w:sz w:val="28"/>
          <w:szCs w:val="28"/>
        </w:rPr>
        <w:t>в проектах нормативных правовых актов в рамках антикоррупционной экспертизы</w:t>
      </w:r>
      <w:r w:rsidR="000C3973">
        <w:rPr>
          <w:rFonts w:ascii="Times New Roman" w:eastAsia="Calibri" w:hAnsi="Times New Roman" w:cs="Times New Roman"/>
          <w:sz w:val="28"/>
          <w:szCs w:val="28"/>
        </w:rPr>
        <w:t>, являются «широта дискреционных полномочий», «</w:t>
      </w:r>
      <w:r w:rsidR="000C3973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0C3973">
        <w:rPr>
          <w:rFonts w:ascii="Times New Roman" w:eastAsia="Calibri" w:hAnsi="Times New Roman" w:cs="Times New Roman"/>
          <w:sz w:val="28"/>
          <w:szCs w:val="28"/>
        </w:rPr>
        <w:t xml:space="preserve">», «нормативные коллизии»; </w:t>
      </w:r>
    </w:p>
    <w:p w:rsidR="00935E14" w:rsidRPr="000F4397" w:rsidRDefault="000C3973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к) </w:t>
      </w:r>
      <w:proofErr w:type="spellStart"/>
      <w:r w:rsidR="007707DB" w:rsidRPr="000F4397">
        <w:rPr>
          <w:rFonts w:ascii="Times New Roman" w:eastAsia="Calibri" w:hAnsi="Times New Roman" w:cs="Times New Roman"/>
          <w:sz w:val="28"/>
          <w:szCs w:val="28"/>
        </w:rPr>
        <w:t>к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оррупциогенные</w:t>
      </w:r>
      <w:proofErr w:type="spellEnd"/>
      <w:r w:rsidR="00C81489" w:rsidRPr="000F4397">
        <w:rPr>
          <w:rFonts w:ascii="Times New Roman" w:eastAsia="Calibri" w:hAnsi="Times New Roman" w:cs="Times New Roman"/>
          <w:sz w:val="28"/>
          <w:szCs w:val="28"/>
        </w:rPr>
        <w:t xml:space="preserve"> факторы, выявляемые в проектах нормативных правовых актов в рамках антикоррупционной экспертизы, устраняются на стадии работы над проектом путем внесения в него </w:t>
      </w:r>
      <w:r>
        <w:rPr>
          <w:rFonts w:ascii="Times New Roman" w:eastAsia="Calibri" w:hAnsi="Times New Roman" w:cs="Times New Roman"/>
          <w:sz w:val="28"/>
          <w:szCs w:val="28"/>
        </w:rPr>
        <w:t>необходимых изменений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. Итогом этой работы является положительное заключен</w:t>
      </w:r>
      <w:r w:rsidR="0008265D">
        <w:rPr>
          <w:rFonts w:ascii="Times New Roman" w:eastAsia="Calibri" w:hAnsi="Times New Roman" w:cs="Times New Roman"/>
          <w:sz w:val="28"/>
          <w:szCs w:val="28"/>
        </w:rPr>
        <w:t>ие антикоррупционной экспертизы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Pr="000F4397" w:rsidRDefault="009C04E6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proofErr w:type="spellStart"/>
      <w:r w:rsidRPr="000F4397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 норм и недопущения их включения в разрабатываемые проекты нормативных правовых актов разрабо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таны Р</w:t>
      </w:r>
      <w:r w:rsidRPr="000F4397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</w:t>
      </w:r>
      <w:proofErr w:type="spellStart"/>
      <w:r w:rsidR="0020344E" w:rsidRPr="000F4397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норм в разрабатываемые проекты нормативных правовых актов</w:t>
      </w:r>
      <w:r w:rsidRPr="000F4397">
        <w:rPr>
          <w:rFonts w:ascii="Times New Roman" w:eastAsia="Calibri" w:hAnsi="Times New Roman" w:cs="Times New Roman"/>
          <w:sz w:val="28"/>
          <w:szCs w:val="28"/>
        </w:rPr>
        <w:t>, которые предлагается 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</w:t>
      </w:r>
      <w:proofErr w:type="gramEnd"/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 Коми (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ри</w:t>
      </w:r>
      <w:r w:rsidRPr="000F4397"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к настоящему мониторингу</w:t>
      </w:r>
      <w:r w:rsidRPr="000F4397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0F4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619" w:rsidRPr="00994AC9" w:rsidRDefault="00746F4D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AC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связи с тем, что 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proofErr w:type="spellStart"/>
      <w:r w:rsidR="00B71CFF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B71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факторам 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по-прежнему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остаются </w:t>
      </w:r>
      <w:r w:rsidRPr="00994AC9">
        <w:rPr>
          <w:rFonts w:ascii="Times New Roman" w:eastAsia="Calibri" w:hAnsi="Times New Roman" w:cs="Times New Roman"/>
          <w:sz w:val="28"/>
          <w:szCs w:val="28"/>
        </w:rPr>
        <w:t>«ш</w:t>
      </w:r>
      <w:r w:rsidR="008C7F99" w:rsidRPr="00994AC9">
        <w:rPr>
          <w:rFonts w:ascii="Times New Roman" w:eastAsia="Calibri" w:hAnsi="Times New Roman" w:cs="Times New Roman"/>
          <w:sz w:val="28"/>
          <w:szCs w:val="28"/>
        </w:rPr>
        <w:t xml:space="preserve">ирота дискреционных полномочий», </w:t>
      </w:r>
      <w:r w:rsidRPr="00994AC9">
        <w:rPr>
          <w:rFonts w:ascii="Times New Roman" w:eastAsia="Calibri" w:hAnsi="Times New Roman" w:cs="Times New Roman"/>
          <w:sz w:val="28"/>
          <w:szCs w:val="28"/>
        </w:rPr>
        <w:t>«отсутствие или неопределенность административных процедур»</w:t>
      </w:r>
      <w:r w:rsidR="00303A85">
        <w:rPr>
          <w:rFonts w:ascii="Times New Roman" w:eastAsia="Calibri" w:hAnsi="Times New Roman" w:cs="Times New Roman"/>
          <w:sz w:val="28"/>
          <w:szCs w:val="28"/>
        </w:rPr>
        <w:t>, «нормативные коллизии»</w:t>
      </w:r>
      <w:r w:rsidR="00212CB9">
        <w:rPr>
          <w:rFonts w:ascii="Times New Roman" w:eastAsia="Calibri" w:hAnsi="Times New Roman" w:cs="Times New Roman"/>
          <w:sz w:val="28"/>
          <w:szCs w:val="28"/>
        </w:rPr>
        <w:t>, а также в связи с выявлени</w:t>
      </w:r>
      <w:r w:rsidR="00212CB9" w:rsidRPr="00800CF6">
        <w:rPr>
          <w:rFonts w:ascii="Times New Roman" w:eastAsia="Calibri" w:hAnsi="Times New Roman" w:cs="Times New Roman"/>
          <w:sz w:val="28"/>
          <w:szCs w:val="28"/>
        </w:rPr>
        <w:t>е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м</w:t>
      </w:r>
      <w:r w:rsidR="00212CB9">
        <w:rPr>
          <w:rFonts w:ascii="Times New Roman" w:eastAsia="Calibri" w:hAnsi="Times New Roman" w:cs="Times New Roman"/>
          <w:sz w:val="28"/>
          <w:szCs w:val="28"/>
        </w:rPr>
        <w:t xml:space="preserve"> в действующих нормативных правовых актах такого </w:t>
      </w:r>
      <w:proofErr w:type="spellStart"/>
      <w:r w:rsidR="00212CB9"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 w:rsidR="00212CB9">
        <w:rPr>
          <w:rFonts w:ascii="Times New Roman" w:eastAsia="Calibri" w:hAnsi="Times New Roman" w:cs="Times New Roman"/>
          <w:sz w:val="28"/>
          <w:szCs w:val="28"/>
        </w:rPr>
        <w:t xml:space="preserve"> фактора, как</w:t>
      </w:r>
      <w:r w:rsidR="008C7F99" w:rsidRPr="00994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CB9">
        <w:rPr>
          <w:rFonts w:ascii="Times New Roman" w:eastAsia="Calibri" w:hAnsi="Times New Roman" w:cs="Times New Roman"/>
          <w:sz w:val="28"/>
          <w:szCs w:val="28"/>
        </w:rPr>
        <w:t>«</w:t>
      </w:r>
      <w:r w:rsidR="00212CB9" w:rsidRPr="00FF1BF5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212CB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органов исполнительной власти Республики Коми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необходимость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>устранени</w:t>
      </w:r>
      <w:r w:rsidR="00994AC9">
        <w:rPr>
          <w:rFonts w:ascii="Times New Roman" w:eastAsia="Calibri" w:hAnsi="Times New Roman" w:cs="Times New Roman"/>
          <w:sz w:val="28"/>
          <w:szCs w:val="28"/>
        </w:rPr>
        <w:t>я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 и недопущение в нормативных</w:t>
      </w:r>
      <w:proofErr w:type="gramEnd"/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 правовых </w:t>
      </w:r>
      <w:proofErr w:type="gramStart"/>
      <w:r w:rsidR="00994AC9" w:rsidRPr="00994AC9">
        <w:rPr>
          <w:rFonts w:ascii="Times New Roman" w:eastAsia="Calibri" w:hAnsi="Times New Roman" w:cs="Times New Roman"/>
          <w:sz w:val="28"/>
          <w:szCs w:val="28"/>
        </w:rPr>
        <w:t>актах</w:t>
      </w:r>
      <w:proofErr w:type="gramEnd"/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 (их проектах) таких </w:t>
      </w:r>
      <w:proofErr w:type="spellStart"/>
      <w:r w:rsidR="00994AC9" w:rsidRPr="00994AC9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 факторов</w:t>
      </w:r>
      <w:r w:rsidR="00994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4E6" w:rsidRDefault="009C04E6" w:rsidP="000B098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2CB9" w:rsidRDefault="00212CB9" w:rsidP="000B098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2CB9" w:rsidRDefault="00212CB9" w:rsidP="00636F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6619" w:rsidRDefault="00D6661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4734" w:rsidRDefault="00B71CFF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Канева А.В</w:t>
      </w:r>
      <w:r w:rsidR="002E4734">
        <w:rPr>
          <w:rFonts w:ascii="Times New Roman" w:hAnsi="Times New Roman" w:cs="Times New Roman"/>
          <w:sz w:val="16"/>
          <w:szCs w:val="16"/>
        </w:rPr>
        <w:t>.</w:t>
      </w:r>
      <w:r w:rsidR="000F039C">
        <w:rPr>
          <w:rFonts w:ascii="Times New Roman" w:hAnsi="Times New Roman" w:cs="Times New Roman"/>
          <w:sz w:val="16"/>
          <w:szCs w:val="16"/>
        </w:rPr>
        <w:t xml:space="preserve"> </w:t>
      </w:r>
      <w:r w:rsidR="002E4734">
        <w:rPr>
          <w:rFonts w:ascii="Times New Roman" w:hAnsi="Times New Roman" w:cs="Times New Roman"/>
          <w:sz w:val="16"/>
          <w:szCs w:val="16"/>
        </w:rPr>
        <w:t>285-</w:t>
      </w:r>
      <w:r>
        <w:rPr>
          <w:rFonts w:ascii="Times New Roman" w:hAnsi="Times New Roman" w:cs="Times New Roman"/>
          <w:sz w:val="16"/>
          <w:szCs w:val="16"/>
        </w:rPr>
        <w:t>267</w:t>
      </w:r>
    </w:p>
    <w:p w:rsidR="002E4734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Sect="007C0178">
          <w:footerReference w:type="default" r:id="rId11"/>
          <w:pgSz w:w="11906" w:h="16838"/>
          <w:pgMar w:top="851" w:right="567" w:bottom="964" w:left="1134" w:header="709" w:footer="709" w:gutter="0"/>
          <w:cols w:space="708"/>
          <w:titlePg/>
          <w:docGrid w:linePitch="360"/>
        </w:sectPr>
      </w:pPr>
    </w:p>
    <w:p w:rsidR="006C63FB" w:rsidRPr="00D4168E" w:rsidRDefault="00203881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03881" w:rsidRPr="00D4168E" w:rsidRDefault="006C63FB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203881" w:rsidRPr="008003C8" w:rsidRDefault="008003C8" w:rsidP="008003C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03C8">
        <w:rPr>
          <w:rFonts w:ascii="Times New Roman" w:eastAsia="Calibri" w:hAnsi="Times New Roman" w:cs="Times New Roman"/>
          <w:b/>
          <w:sz w:val="28"/>
          <w:szCs w:val="28"/>
        </w:rPr>
        <w:t>Коррупциогенные</w:t>
      </w:r>
      <w:proofErr w:type="spellEnd"/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 w:rsidR="00D4168E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314B9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314B9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8003C8" w:rsidRDefault="008003C8" w:rsidP="0020388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69"/>
        <w:gridCol w:w="1277"/>
        <w:gridCol w:w="1374"/>
        <w:gridCol w:w="1277"/>
        <w:gridCol w:w="1374"/>
        <w:gridCol w:w="1277"/>
        <w:gridCol w:w="1374"/>
        <w:gridCol w:w="1277"/>
        <w:gridCol w:w="1374"/>
        <w:gridCol w:w="1362"/>
        <w:gridCol w:w="1375"/>
      </w:tblGrid>
      <w:tr w:rsidR="002353E6" w:rsidRPr="006C63FB" w:rsidTr="002353E6">
        <w:tc>
          <w:tcPr>
            <w:tcW w:w="671" w:type="pct"/>
            <w:vMerge w:val="restart"/>
            <w:vAlign w:val="center"/>
          </w:tcPr>
          <w:p w:rsidR="002353E6" w:rsidRPr="006C63FB" w:rsidRDefault="002353E6" w:rsidP="004E3C8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коррупциогенного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63FB">
              <w:rPr>
                <w:rFonts w:ascii="Times New Roman" w:hAnsi="Times New Roman" w:cs="Times New Roman"/>
                <w:b/>
                <w:bCs/>
              </w:rPr>
              <w:t>фактора</w:t>
            </w:r>
            <w:r>
              <w:rPr>
                <w:rStyle w:val="ad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720" w:type="pct"/>
            <w:gridSpan w:val="4"/>
            <w:vAlign w:val="center"/>
          </w:tcPr>
          <w:p w:rsidR="002353E6" w:rsidRPr="006C63FB" w:rsidRDefault="002353E6" w:rsidP="00182746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2015 год</w:t>
            </w:r>
          </w:p>
        </w:tc>
        <w:tc>
          <w:tcPr>
            <w:tcW w:w="1720" w:type="pct"/>
            <w:gridSpan w:val="4"/>
            <w:vAlign w:val="center"/>
          </w:tcPr>
          <w:p w:rsidR="002353E6" w:rsidRPr="006C63FB" w:rsidRDefault="002353E6" w:rsidP="00182746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2016 год</w:t>
            </w:r>
          </w:p>
        </w:tc>
        <w:tc>
          <w:tcPr>
            <w:tcW w:w="888" w:type="pct"/>
            <w:gridSpan w:val="2"/>
          </w:tcPr>
          <w:p w:rsidR="002353E6" w:rsidRPr="006C63FB" w:rsidRDefault="002353E6" w:rsidP="00182746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2017 год</w:t>
            </w:r>
          </w:p>
        </w:tc>
      </w:tr>
      <w:tr w:rsidR="002353E6" w:rsidRPr="006C63FB" w:rsidTr="002353E6">
        <w:tc>
          <w:tcPr>
            <w:tcW w:w="671" w:type="pct"/>
            <w:vMerge/>
          </w:tcPr>
          <w:p w:rsidR="002353E6" w:rsidRPr="006C63FB" w:rsidRDefault="002353E6" w:rsidP="0020388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  <w:tc>
          <w:tcPr>
            <w:tcW w:w="860" w:type="pct"/>
            <w:gridSpan w:val="2"/>
            <w:vAlign w:val="center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  <w:tc>
          <w:tcPr>
            <w:tcW w:w="860" w:type="pct"/>
            <w:gridSpan w:val="2"/>
            <w:vAlign w:val="center"/>
          </w:tcPr>
          <w:p w:rsidR="002353E6" w:rsidRPr="006C63FB" w:rsidRDefault="002353E6" w:rsidP="00182746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  <w:tc>
          <w:tcPr>
            <w:tcW w:w="860" w:type="pct"/>
            <w:gridSpan w:val="2"/>
          </w:tcPr>
          <w:p w:rsidR="002353E6" w:rsidRPr="006C63FB" w:rsidRDefault="002353E6" w:rsidP="00182746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  <w:tc>
          <w:tcPr>
            <w:tcW w:w="888" w:type="pct"/>
            <w:gridSpan w:val="2"/>
          </w:tcPr>
          <w:p w:rsidR="002353E6" w:rsidRPr="006C63FB" w:rsidRDefault="002353E6" w:rsidP="00182746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</w:tr>
      <w:tr w:rsidR="002353E6" w:rsidRPr="006C63FB" w:rsidTr="002353E6">
        <w:tc>
          <w:tcPr>
            <w:tcW w:w="671" w:type="pct"/>
            <w:vMerge/>
          </w:tcPr>
          <w:p w:rsidR="002353E6" w:rsidRPr="006C63FB" w:rsidRDefault="002353E6" w:rsidP="0020388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46" w:type="pct"/>
            <w:vAlign w:val="center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14" w:type="pct"/>
            <w:vAlign w:val="center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46" w:type="pct"/>
            <w:vAlign w:val="center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14" w:type="pct"/>
            <w:vAlign w:val="center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46" w:type="pct"/>
            <w:vAlign w:val="center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14" w:type="pct"/>
            <w:vAlign w:val="center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46" w:type="pct"/>
            <w:vAlign w:val="center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42" w:type="pct"/>
            <w:vAlign w:val="center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46" w:type="pct"/>
            <w:vAlign w:val="center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tabs>
                <w:tab w:val="right" w:pos="5030"/>
              </w:tabs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 xml:space="preserve">Широта дискреционных полномочий 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47,8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4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6" w:type="pct"/>
          </w:tcPr>
          <w:p w:rsidR="002353E6" w:rsidRPr="006C63FB" w:rsidRDefault="002353E6" w:rsidP="00020D8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14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42" w:type="pct"/>
          </w:tcPr>
          <w:p w:rsidR="002353E6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2353E6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16,7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eastAsia="Calibri" w:hAnsi="Times New Roman" w:cs="Times New Roman"/>
              </w:rPr>
              <w:t>Отсутствие или неполнота административных процедур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46" w:type="pct"/>
          </w:tcPr>
          <w:p w:rsidR="002353E6" w:rsidRPr="006C63FB" w:rsidRDefault="002353E6" w:rsidP="00C22603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34,8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414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14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42" w:type="pct"/>
          </w:tcPr>
          <w:p w:rsidR="002353E6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6" w:type="pct"/>
          </w:tcPr>
          <w:p w:rsidR="002353E6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eastAsia="Calibri" w:hAnsi="Times New Roman" w:cs="Times New Roman"/>
              </w:rPr>
              <w:t>Юридико-лингвистическая неопределенность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6" w:type="pct"/>
          </w:tcPr>
          <w:p w:rsidR="002353E6" w:rsidRPr="006C63FB" w:rsidRDefault="002353E6" w:rsidP="006C63F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4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414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" w:type="pct"/>
          </w:tcPr>
          <w:p w:rsidR="002353E6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4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414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" w:type="pct"/>
          </w:tcPr>
          <w:p w:rsidR="002353E6" w:rsidRDefault="002353E6" w:rsidP="004E3C8F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6" w:type="pct"/>
          </w:tcPr>
          <w:p w:rsidR="002353E6" w:rsidRDefault="002353E6" w:rsidP="002353E6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41,7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Выборочное изменение объема прав</w:t>
            </w:r>
          </w:p>
        </w:tc>
        <w:tc>
          <w:tcPr>
            <w:tcW w:w="414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4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" w:type="pct"/>
          </w:tcPr>
          <w:p w:rsidR="002353E6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 xml:space="preserve">Принятие </w:t>
            </w:r>
            <w:r w:rsidRPr="006C63FB">
              <w:rPr>
                <w:rFonts w:ascii="Times New Roman" w:eastAsia="Calibri" w:hAnsi="Times New Roman" w:cs="Times New Roman"/>
              </w:rPr>
              <w:lastRenderedPageBreak/>
              <w:t>нормативного правового акта за пределами компетенции</w:t>
            </w:r>
          </w:p>
        </w:tc>
        <w:tc>
          <w:tcPr>
            <w:tcW w:w="414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414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414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" w:type="pct"/>
          </w:tcPr>
          <w:p w:rsidR="002353E6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2353E6" w:rsidRDefault="002353E6" w:rsidP="00DE0AE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lastRenderedPageBreak/>
              <w:t>Нормативные коллизии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42" w:type="pct"/>
          </w:tcPr>
          <w:p w:rsidR="002353E6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2353E6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 xml:space="preserve">Определение </w:t>
            </w:r>
            <w:r>
              <w:rPr>
                <w:rFonts w:ascii="Times New Roman" w:eastAsia="Calibri" w:hAnsi="Times New Roman" w:cs="Times New Roman"/>
              </w:rPr>
              <w:t xml:space="preserve"> компетенции по формуле «</w:t>
            </w:r>
            <w:r w:rsidRPr="006C63FB">
              <w:rPr>
                <w:rFonts w:ascii="Times New Roman" w:eastAsia="Calibri" w:hAnsi="Times New Roman" w:cs="Times New Roman"/>
              </w:rPr>
              <w:t>вправе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42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Чрезмерная  свобода подзаконного нормотворчества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Заполнение 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Отказ от конкурсных (аукционных) процедур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6C63F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250C5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303A8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2353E6" w:rsidRPr="006C63FB" w:rsidRDefault="002353E6" w:rsidP="000F531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53E6" w:rsidRPr="006C63FB" w:rsidTr="002353E6">
        <w:tc>
          <w:tcPr>
            <w:tcW w:w="671" w:type="pct"/>
          </w:tcPr>
          <w:p w:rsidR="002353E6" w:rsidRPr="006C63FB" w:rsidRDefault="002353E6" w:rsidP="0020388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414" w:type="pct"/>
          </w:tcPr>
          <w:p w:rsidR="002353E6" w:rsidRPr="006C63FB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446" w:type="pct"/>
          </w:tcPr>
          <w:p w:rsidR="002353E6" w:rsidRPr="006C63FB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2353E6" w:rsidRPr="006C63FB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46" w:type="pct"/>
          </w:tcPr>
          <w:p w:rsidR="002353E6" w:rsidRPr="006C63FB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2353E6" w:rsidRPr="006C63FB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446" w:type="pct"/>
          </w:tcPr>
          <w:p w:rsidR="002353E6" w:rsidRPr="006C63FB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2353E6" w:rsidRPr="006C63FB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46" w:type="pct"/>
          </w:tcPr>
          <w:p w:rsidR="002353E6" w:rsidRPr="006C63FB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42" w:type="pct"/>
          </w:tcPr>
          <w:p w:rsidR="002353E6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446" w:type="pct"/>
          </w:tcPr>
          <w:p w:rsidR="002353E6" w:rsidRDefault="002353E6" w:rsidP="00C2260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203881" w:rsidRDefault="002038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638"/>
        <w:gridCol w:w="7638"/>
      </w:tblGrid>
      <w:tr w:rsidR="00A7305E" w:rsidTr="001066F1">
        <w:tc>
          <w:tcPr>
            <w:tcW w:w="7638" w:type="dxa"/>
            <w:vAlign w:val="center"/>
          </w:tcPr>
          <w:p w:rsidR="00A7305E" w:rsidRDefault="003D7C59" w:rsidP="00C45A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положении содержится </w:t>
            </w:r>
            <w:proofErr w:type="spellStart"/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638" w:type="dxa"/>
            <w:vAlign w:val="center"/>
          </w:tcPr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положении отсутствует </w:t>
            </w:r>
            <w:proofErr w:type="spellStart"/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фактор),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1066F1">
        <w:tc>
          <w:tcPr>
            <w:tcW w:w="15276" w:type="dxa"/>
            <w:gridSpan w:val="2"/>
          </w:tcPr>
          <w:p w:rsidR="00D7653A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6627" w:rsidRDefault="00B06627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Положения нормативных правовых актов, предусматривающих осуществление определенных административных действий, должны содержать 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5618EC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12D2" w:rsidRPr="00F10A27" w:rsidTr="001066F1">
        <w:tc>
          <w:tcPr>
            <w:tcW w:w="7638" w:type="dxa"/>
          </w:tcPr>
          <w:p w:rsidR="008512D2" w:rsidRDefault="003709E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EF">
              <w:rPr>
                <w:rFonts w:ascii="Times New Roman" w:hAnsi="Times New Roman" w:cs="Times New Roman"/>
                <w:sz w:val="28"/>
                <w:szCs w:val="28"/>
              </w:rPr>
              <w:t xml:space="preserve">Если документы, указанные в настоящем пункте, представлены с нарушением сроков представления документов для получения субсидии, установленных Министерством в соответствии с настоящим Порядком,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Pr="003709EF">
              <w:rPr>
                <w:rFonts w:ascii="Times New Roman" w:hAnsi="Times New Roman" w:cs="Times New Roman"/>
                <w:sz w:val="28"/>
                <w:szCs w:val="28"/>
              </w:rPr>
              <w:t xml:space="preserve"> не рассматривает такие документы и возвращает их хозяйствующему субъекту.</w:t>
            </w:r>
          </w:p>
          <w:p w:rsidR="003709EF" w:rsidRPr="003709EF" w:rsidRDefault="003709E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9EF">
              <w:rPr>
                <w:rFonts w:ascii="Times New Roman" w:hAnsi="Times New Roman" w:cs="Times New Roman"/>
                <w:i/>
                <w:sz w:val="28"/>
                <w:szCs w:val="28"/>
              </w:rPr>
              <w:t>(отсутствует срок возврата документов)</w:t>
            </w:r>
          </w:p>
        </w:tc>
        <w:tc>
          <w:tcPr>
            <w:tcW w:w="7638" w:type="dxa"/>
          </w:tcPr>
          <w:p w:rsidR="008512D2" w:rsidRPr="004B1D23" w:rsidRDefault="003709E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09EF">
              <w:rPr>
                <w:rFonts w:ascii="Times New Roman" w:hAnsi="Times New Roman" w:cs="Times New Roman"/>
                <w:sz w:val="28"/>
                <w:szCs w:val="28"/>
              </w:rPr>
              <w:t xml:space="preserve">Если документы, указанные в настоящем пункте, представлены с нарушением сроков представления документов для получения субсидии, установленных Министерством в соответствии с настоящим Порядком,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Pr="003709EF">
              <w:rPr>
                <w:rFonts w:ascii="Times New Roman" w:hAnsi="Times New Roman" w:cs="Times New Roman"/>
                <w:sz w:val="28"/>
                <w:szCs w:val="28"/>
              </w:rPr>
              <w:t xml:space="preserve"> не рассматривает такие документы и </w:t>
            </w:r>
            <w:r w:rsidRPr="00370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5 рабочих дней со дня поступления документов</w:t>
            </w:r>
            <w:r w:rsidRPr="003709EF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возвращает их хозяйствующему субъекту.</w:t>
            </w:r>
          </w:p>
        </w:tc>
      </w:tr>
      <w:tr w:rsidR="003709EF" w:rsidRPr="00F10A27" w:rsidTr="001066F1">
        <w:tc>
          <w:tcPr>
            <w:tcW w:w="7638" w:type="dxa"/>
          </w:tcPr>
          <w:p w:rsidR="003709EF" w:rsidRDefault="00260FE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в течение 5 рабочих дней со дня представления документов, указанных в пункте 3 настоящего Порядка, организует проведение проверки сведений, представленных кандидатом, в том числе путем направления соответствующих запросов в государственные органы.</w:t>
            </w:r>
          </w:p>
          <w:p w:rsidR="00260FEF" w:rsidRDefault="00260FE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(отсутствует срок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 проверки</w:t>
            </w:r>
            <w:r w:rsidRPr="003709E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260FEF" w:rsidRDefault="00260FE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в течение 5 рабочих дней со дня представления документов, указанных в пункте 3 настоящего Порядка, организует проведение проверки сведений, представленных кандидатом, в том числе путем направления соответствующих запросов в государственные органы.</w:t>
            </w:r>
          </w:p>
          <w:p w:rsidR="003709EF" w:rsidRPr="001E5215" w:rsidRDefault="00260FE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2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проводится в срок не более 2 месяцев со дня представления документов, указанных в пункте 3 настоящего Порядка.</w:t>
            </w:r>
          </w:p>
        </w:tc>
      </w:tr>
      <w:tr w:rsidR="00D7653A" w:rsidRPr="00F10A27" w:rsidTr="001066F1">
        <w:tc>
          <w:tcPr>
            <w:tcW w:w="7638" w:type="dxa"/>
          </w:tcPr>
          <w:p w:rsidR="00D7653A" w:rsidRDefault="00D7653A" w:rsidP="00D765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Оператор не позднее 20 августа текущего года направляет документы, поступившие от организаций,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миссию по присуждению премий, созданную Министерством (далее - Комиссия), для рассмотрения.</w:t>
            </w:r>
          </w:p>
          <w:p w:rsidR="00D7653A" w:rsidRPr="000F531B" w:rsidRDefault="00D7653A" w:rsidP="00D7653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(отсутствует срок </w:t>
            </w:r>
            <w:r w:rsidRPr="00D7653A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Комиссией документов</w:t>
            </w:r>
            <w:r w:rsidRPr="003709E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D7653A" w:rsidRDefault="00D7653A" w:rsidP="00D765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Оператор не позднее 20 августа текущего года направляет документы, поступившие от организаций,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миссию по присуждению премий, созданную Министерством (далее - Комиссия), для рассмотрения.</w:t>
            </w:r>
          </w:p>
          <w:p w:rsidR="00D7653A" w:rsidRPr="00D7653A" w:rsidRDefault="00D7653A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65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Документы, указанные в пункте 5 настоящего Положения, рассматриваются Комиссией в срок до 15 октября текущего года.</w:t>
            </w:r>
          </w:p>
        </w:tc>
      </w:tr>
      <w:tr w:rsidR="000F531B" w:rsidRPr="00F10A27" w:rsidTr="001066F1">
        <w:tc>
          <w:tcPr>
            <w:tcW w:w="7638" w:type="dxa"/>
          </w:tcPr>
          <w:p w:rsid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Для получения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не позднее 15 числа месяца, следующего за отчетным</w:t>
            </w:r>
            <w:r w:rsidR="00D765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электронном и бумажном носителях расчет размера субсидии и отчеты по формам, установленным Соглашением (далее соответственно - расчеты и отчеты).</w:t>
            </w:r>
          </w:p>
          <w:p w:rsidR="000F531B" w:rsidRP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пяти рабочих дней со дня получения расчетов и отчетов,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10 настоящего Порядка, осуществляет проверку их полноты, правильности.</w:t>
            </w:r>
          </w:p>
          <w:p w:rsidR="000F531B" w:rsidRP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в представленных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расчетах и (или) отчетах допущены неточности, технические ошибки,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письменном виде уведомляет в срок, указанный в абзаце первом настоящего пункта, об их возврате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причин возврата и срока для исправления.</w:t>
            </w:r>
            <w:proofErr w:type="gramEnd"/>
          </w:p>
          <w:p w:rsid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После устранения допущенных неточностей, технических ошибок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уточненные расчеты и (или) отчеты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Рассмотрение уточненных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в порядке, указанном в абзацах первом и втором настоящего пункта.</w:t>
            </w:r>
          </w:p>
          <w:p w:rsidR="000F531B" w:rsidRDefault="000F531B" w:rsidP="000F53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Перечисление средств субсидии производится в установленном порядке с лицевого счета Органа, открытого в Министерстве финансов Республики Коми, на счет заявителя ежемесячно в срок, не превышающий тридцати рабочих дней со дня окончания проверки отчетов и расчетов.</w:t>
            </w:r>
          </w:p>
          <w:p w:rsidR="000F531B" w:rsidRPr="000F531B" w:rsidRDefault="000F531B" w:rsidP="00BB3D0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31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0F531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0F5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тсутствует </w:t>
            </w:r>
            <w:r w:rsidR="00BB3D00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процедура</w:t>
            </w:r>
            <w:r w:rsidRPr="000F5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принятия </w:t>
            </w:r>
            <w:r w:rsidR="00586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Органом </w:t>
            </w:r>
            <w:r w:rsidRPr="000F5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о </w:t>
            </w:r>
            <w:r w:rsidRPr="000F53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предоставлении</w:t>
            </w:r>
            <w:r w:rsidR="00BB3D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3D00" w:rsidRPr="00BB3D00">
              <w:rPr>
                <w:rFonts w:ascii="Times New Roman" w:hAnsi="Times New Roman" w:cs="Times New Roman"/>
                <w:i/>
                <w:sz w:val="28"/>
                <w:szCs w:val="28"/>
              </w:rPr>
              <w:t>(отказе в предоставлении)</w:t>
            </w:r>
            <w:r w:rsidRPr="000F5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субсидии)</w:t>
            </w:r>
          </w:p>
        </w:tc>
        <w:tc>
          <w:tcPr>
            <w:tcW w:w="7638" w:type="dxa"/>
          </w:tcPr>
          <w:p w:rsid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Для получения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не позднее 15 числа месяца, следующего за отчетным</w:t>
            </w:r>
            <w:r w:rsidR="00D765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электронном и бумажном носителях расчет размера субсидии и отчеты по формам, установленным Соглашением (далее соответственно - расчеты и отчеты).</w:t>
            </w:r>
          </w:p>
          <w:p w:rsidR="000F531B" w:rsidRP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пяти рабочих дней со дня получения расчетов и отчетов,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 10 настоящего Порядка, </w:t>
            </w:r>
            <w:r w:rsidRPr="000F53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рассматривает их и по результатам рассмотрения принимает решение о предоставлении (отказе в предоставлении) субсидии.</w:t>
            </w:r>
          </w:p>
          <w:p w:rsidR="000F531B" w:rsidRP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3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Основаниями для принятия решения об отказе в предоставлении заявителю субсидии являются:</w:t>
            </w:r>
          </w:p>
          <w:p w:rsidR="000F531B" w:rsidRP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F531B" w:rsidRP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3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случае принятия решения об отказе в предоставлении заявителю субсидии Орган направляет заявителю письменное уведомление о принятом в отношении него решении с указанием причин, послуживших основанием для такого отказа, в течение двух рабочих дней со дня принятия решения.</w:t>
            </w:r>
          </w:p>
          <w:p w:rsidR="000F531B" w:rsidRPr="000F531B" w:rsidRDefault="000F531B" w:rsidP="000F531B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Заявитель вправе обратиться повторно после устранения недостатков, послуживших основанием для принятия решения об отказе, в порядке, установленном пунктом 10 настоящего Порядка.</w:t>
            </w:r>
          </w:p>
          <w:p w:rsidR="00D7653A" w:rsidRDefault="000F531B" w:rsidP="00D7653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средств субсидии производится в установленном порядке с лицевого счета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Министерстве финансов Республики Коми, на расчетные счета получателей субсидии, открытые в учреждениях Центрального банка Российской Федерации или кредитных организациях, </w:t>
            </w:r>
            <w:r w:rsidRPr="00BB3D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позднее десятого рабочего дня после принятия Органом решения о предоставлении субсидии, на основании представляемых Органом заявок на оплату расходов и соответствующего решения </w:t>
            </w:r>
            <w:r w:rsidR="00BB3D00" w:rsidRPr="00BB3D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Органа </w:t>
            </w:r>
            <w:r w:rsidRPr="00BB3D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предоставлении субсидии</w:t>
            </w:r>
            <w:r w:rsidRPr="000F5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F3B9F" w:rsidRPr="00F10A27" w:rsidTr="000F531B">
        <w:tc>
          <w:tcPr>
            <w:tcW w:w="15276" w:type="dxa"/>
            <w:gridSpan w:val="2"/>
          </w:tcPr>
          <w:p w:rsidR="00D7653A" w:rsidRDefault="00D7653A" w:rsidP="00B4747B">
            <w:pPr>
              <w:pStyle w:val="ConsPlusNormal"/>
              <w:suppressAutoHyphens/>
              <w:ind w:left="142" w:firstLine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F3B9F" w:rsidRDefault="006F3B9F" w:rsidP="00B4747B">
            <w:pPr>
              <w:pStyle w:val="ConsPlusNormal"/>
              <w:suppressAutoHyphens/>
              <w:ind w:left="142" w:firstLine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Положения нормативных правовых актов, предусматривающих </w:t>
            </w:r>
            <w:r w:rsidR="00B474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принятие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определенных </w:t>
            </w:r>
            <w:r w:rsidR="00B474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решений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должны содержать</w:t>
            </w:r>
            <w:r w:rsidR="00B474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основания для принятия соответствующего решения</w:t>
            </w:r>
          </w:p>
          <w:p w:rsidR="00D7653A" w:rsidRPr="009517D0" w:rsidRDefault="00D7653A" w:rsidP="00B4747B">
            <w:pPr>
              <w:pStyle w:val="ConsPlusNormal"/>
              <w:suppressAutoHyphens/>
              <w:ind w:left="142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9F" w:rsidRPr="00F10A27" w:rsidTr="001066F1">
        <w:tc>
          <w:tcPr>
            <w:tcW w:w="7638" w:type="dxa"/>
          </w:tcPr>
          <w:p w:rsidR="006F3B9F" w:rsidRPr="006F3B9F" w:rsidRDefault="006F3B9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B9F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на основании заключения Комиссии о признании проекта прошедшим (не прошедшим) конкурсный отбор и о возможности (невозможности) предоставления субсидии в течение 3 рабочих дней со дня его вынесения принимает решение о предоставлении (отказе в </w:t>
            </w:r>
            <w:proofErr w:type="gramStart"/>
            <w:r w:rsidRPr="006F3B9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предоставлении) </w:t>
            </w:r>
            <w:proofErr w:type="gramEnd"/>
            <w:r w:rsidRPr="006F3B9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оформляет и утверждает список победителей конкурсного отбора с указанием размера предоставляемой субсидии, рассчитанного в соответствии с пунктом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Порядка</w:t>
            </w:r>
            <w:r w:rsidRPr="006F3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B9F" w:rsidRPr="006F3B9F" w:rsidRDefault="006F3B9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3B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(отсутствуют основания для принятия решения) </w:t>
            </w:r>
          </w:p>
        </w:tc>
        <w:tc>
          <w:tcPr>
            <w:tcW w:w="7638" w:type="dxa"/>
          </w:tcPr>
          <w:p w:rsidR="006F3B9F" w:rsidRPr="006F3B9F" w:rsidRDefault="006F3B9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B9F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на основании заключения Комиссии о признании проекта прошедшим (не прошедшим) конкурсный отбор и о возможности (невозможности) предоставления субсидии в течение 3 рабочих дней со дня его вынесения принимает решение о предоставлении (отказе в </w:t>
            </w:r>
            <w:proofErr w:type="gramStart"/>
            <w:r w:rsidRPr="006F3B9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предоставлении) </w:t>
            </w:r>
            <w:proofErr w:type="gramEnd"/>
            <w:r w:rsidRPr="006F3B9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оформляет и утверждает список победителей конкурсного отбора с указанием размера предоставляемой субсидии, рассчитанного в соответствии с пунктом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Порядка</w:t>
            </w:r>
            <w:r w:rsidRPr="006F3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B9F" w:rsidRPr="006F3B9F" w:rsidRDefault="006F3B9F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F3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Основанием</w:t>
            </w:r>
            <w:proofErr w:type="gramEnd"/>
            <w:r w:rsidRPr="006F3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принятия уполномоченным органом решения о предоставлении субсидии является заключение Комиссии о признании проекта прошедшим конкурсный отбор и о возможности предоставления субсидии.</w:t>
            </w:r>
          </w:p>
          <w:p w:rsidR="00D7653A" w:rsidRDefault="006F3B9F" w:rsidP="00D7653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F3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Основанием</w:t>
            </w:r>
            <w:proofErr w:type="gramEnd"/>
            <w:r w:rsidRPr="006F3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принятия уполномоченным органом решения об отказе в предоставлении субсидии является заключение Комиссии признании проекта не прошедшим конкурсный отбор и о невозможности предоставления субсидии.</w:t>
            </w:r>
          </w:p>
          <w:p w:rsidR="00D7653A" w:rsidRPr="009517D0" w:rsidRDefault="00D7653A" w:rsidP="00D7653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15" w:rsidRPr="00F10A27" w:rsidTr="001066F1">
        <w:tc>
          <w:tcPr>
            <w:tcW w:w="15276" w:type="dxa"/>
            <w:gridSpan w:val="2"/>
          </w:tcPr>
          <w:p w:rsidR="00D7653A" w:rsidRDefault="00D7653A" w:rsidP="00273D2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E5215" w:rsidRDefault="00273D24" w:rsidP="00273D2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Нормативный правовой акт не должен содержать завышенные требования к лицу, предъявляемые для реализации принадлежащего ему права </w:t>
            </w:r>
          </w:p>
          <w:p w:rsidR="00D7653A" w:rsidRDefault="00D7653A" w:rsidP="00273D2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15" w:rsidRPr="00F10A27" w:rsidTr="001066F1">
        <w:tc>
          <w:tcPr>
            <w:tcW w:w="7638" w:type="dxa"/>
          </w:tcPr>
          <w:p w:rsidR="00273D24" w:rsidRDefault="00273D24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Подпунктом 3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предусмотрено, что для предоставления государственной услуги заявитель представляет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DF3" w:rsidRPr="00740DF3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по месту жительства с указанием граждан, зарегистрированных в жилом помещении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D24" w:rsidRPr="00B97450" w:rsidRDefault="00273D24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9745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установлено требование об обязательности представления документа</w:t>
            </w:r>
            <w:r w:rsidR="00740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(сведений)</w:t>
            </w:r>
            <w:r w:rsidR="00B974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который может </w:t>
            </w:r>
            <w:r w:rsidR="00B97450" w:rsidRPr="00B97450">
              <w:rPr>
                <w:rFonts w:ascii="Times New Roman" w:hAnsi="Times New Roman" w:cs="Times New Roman"/>
                <w:i/>
                <w:sz w:val="28"/>
                <w:szCs w:val="28"/>
              </w:rPr>
              <w:t>быть получен органом посредством межведомственного взаимодействия</w:t>
            </w:r>
            <w:r w:rsidR="00740DF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B97450" w:rsidRPr="00A022C8" w:rsidRDefault="00B97450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22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A022C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</w:t>
            </w:r>
            <w:r w:rsidRPr="00A022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Для получения государственной услуги заявитель вправе представить справку налоговых органов о состоянии расчетов по налогам, сборам, пеням и штрафам организаций и индивидуальных предпринимателей.</w:t>
            </w:r>
          </w:p>
          <w:p w:rsidR="00D7653A" w:rsidRDefault="00740DF3" w:rsidP="00D7653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случае если заявителем по собственной инициативе не представлен документ (сведения), указанный в настоящем пункте, орган в течение 3 рабочих дней со дня представления документов, указанных в пункте 5 настоящего Порядка, запрашивает его в порядке межведомственного информационного взаимодействия в органах и организациях, в распоряжении которых находятся указанный документ (сведения).</w:t>
            </w:r>
          </w:p>
        </w:tc>
      </w:tr>
    </w:tbl>
    <w:p w:rsidR="00F762B2" w:rsidRPr="008206F8" w:rsidRDefault="00F762B2" w:rsidP="00636F4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8206F8" w:rsidSect="006C63FB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E1" w:rsidRDefault="006743E1" w:rsidP="00A9079E">
      <w:pPr>
        <w:spacing w:after="0" w:line="240" w:lineRule="auto"/>
      </w:pPr>
      <w:r>
        <w:separator/>
      </w:r>
    </w:p>
  </w:endnote>
  <w:endnote w:type="continuationSeparator" w:id="0">
    <w:p w:rsidR="006743E1" w:rsidRDefault="006743E1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05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531B" w:rsidRPr="00F10AD1" w:rsidRDefault="000F531B">
        <w:pPr>
          <w:pStyle w:val="a9"/>
          <w:jc w:val="right"/>
          <w:rPr>
            <w:rFonts w:ascii="Times New Roman" w:hAnsi="Times New Roman" w:cs="Times New Roman"/>
          </w:rPr>
        </w:pPr>
        <w:r w:rsidRPr="00F10AD1">
          <w:rPr>
            <w:rFonts w:ascii="Times New Roman" w:hAnsi="Times New Roman" w:cs="Times New Roman"/>
          </w:rPr>
          <w:fldChar w:fldCharType="begin"/>
        </w:r>
        <w:r w:rsidRPr="00F10AD1">
          <w:rPr>
            <w:rFonts w:ascii="Times New Roman" w:hAnsi="Times New Roman" w:cs="Times New Roman"/>
          </w:rPr>
          <w:instrText>PAGE   \* MERGEFORMAT</w:instrText>
        </w:r>
        <w:r w:rsidRPr="00F10AD1">
          <w:rPr>
            <w:rFonts w:ascii="Times New Roman" w:hAnsi="Times New Roman" w:cs="Times New Roman"/>
          </w:rPr>
          <w:fldChar w:fldCharType="separate"/>
        </w:r>
        <w:r w:rsidR="00FF4ADA">
          <w:rPr>
            <w:rFonts w:ascii="Times New Roman" w:hAnsi="Times New Roman" w:cs="Times New Roman"/>
            <w:noProof/>
          </w:rPr>
          <w:t>8</w:t>
        </w:r>
        <w:r w:rsidRPr="00F10A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E1" w:rsidRDefault="006743E1" w:rsidP="00A9079E">
      <w:pPr>
        <w:spacing w:after="0" w:line="240" w:lineRule="auto"/>
      </w:pPr>
      <w:r>
        <w:separator/>
      </w:r>
    </w:p>
  </w:footnote>
  <w:footnote w:type="continuationSeparator" w:id="0">
    <w:p w:rsidR="006743E1" w:rsidRDefault="006743E1" w:rsidP="00A9079E">
      <w:pPr>
        <w:spacing w:after="0" w:line="240" w:lineRule="auto"/>
      </w:pPr>
      <w:r>
        <w:continuationSeparator/>
      </w:r>
    </w:p>
  </w:footnote>
  <w:footnote w:id="1">
    <w:p w:rsidR="000F531B" w:rsidRPr="00144C94" w:rsidRDefault="000F531B" w:rsidP="00144C94">
      <w:pPr>
        <w:pStyle w:val="ab"/>
        <w:suppressAutoHyphens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Рассматриваемый </w:t>
      </w:r>
      <w:proofErr w:type="spellStart"/>
      <w:r>
        <w:rPr>
          <w:rFonts w:ascii="Times New Roman" w:hAnsi="Times New Roman" w:cs="Times New Roman"/>
        </w:rPr>
        <w:t>коррупциогенный</w:t>
      </w:r>
      <w:proofErr w:type="spellEnd"/>
      <w:r>
        <w:rPr>
          <w:rFonts w:ascii="Times New Roman" w:hAnsi="Times New Roman" w:cs="Times New Roman"/>
        </w:rPr>
        <w:t xml:space="preserve"> фактор был включен в перечень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факторов, установленный </w:t>
      </w:r>
      <w:r w:rsidRPr="00144C94">
        <w:rPr>
          <w:rFonts w:ascii="Times New Roman" w:hAnsi="Times New Roman" w:cs="Times New Roman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</w:rPr>
        <w:t>, утвержденной п</w:t>
      </w:r>
      <w:r w:rsidRPr="00144C94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144C94">
        <w:rPr>
          <w:rFonts w:ascii="Times New Roman" w:hAnsi="Times New Roman" w:cs="Times New Roman"/>
        </w:rPr>
        <w:t xml:space="preserve">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144C94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144C94">
        <w:rPr>
          <w:rFonts w:ascii="Times New Roman" w:hAnsi="Times New Roman" w:cs="Times New Roman"/>
        </w:rPr>
        <w:t xml:space="preserve"> от 26</w:t>
      </w:r>
      <w:r>
        <w:rPr>
          <w:rFonts w:ascii="Times New Roman" w:hAnsi="Times New Roman" w:cs="Times New Roman"/>
        </w:rPr>
        <w:t xml:space="preserve"> февраля </w:t>
      </w:r>
      <w:r w:rsidRPr="00144C94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144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44C94">
        <w:rPr>
          <w:rFonts w:ascii="Times New Roman" w:hAnsi="Times New Roman" w:cs="Times New Roman"/>
        </w:rPr>
        <w:t xml:space="preserve"> 96</w:t>
      </w:r>
      <w:r>
        <w:rPr>
          <w:rFonts w:ascii="Times New Roman" w:hAnsi="Times New Roman" w:cs="Times New Roman"/>
        </w:rPr>
        <w:t xml:space="preserve">. </w:t>
      </w:r>
    </w:p>
  </w:footnote>
  <w:footnote w:id="2">
    <w:p w:rsidR="000F531B" w:rsidRPr="00FB5AF0" w:rsidRDefault="000F531B" w:rsidP="00FB5AF0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6"/>
  </w:num>
  <w:num w:numId="2">
    <w:abstractNumId w:val="7"/>
  </w:num>
  <w:num w:numId="3">
    <w:abstractNumId w:val="43"/>
  </w:num>
  <w:num w:numId="4">
    <w:abstractNumId w:val="34"/>
  </w:num>
  <w:num w:numId="5">
    <w:abstractNumId w:val="20"/>
  </w:num>
  <w:num w:numId="6">
    <w:abstractNumId w:val="23"/>
  </w:num>
  <w:num w:numId="7">
    <w:abstractNumId w:val="33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39"/>
  </w:num>
  <w:num w:numId="17">
    <w:abstractNumId w:val="1"/>
  </w:num>
  <w:num w:numId="18">
    <w:abstractNumId w:val="44"/>
  </w:num>
  <w:num w:numId="19">
    <w:abstractNumId w:val="12"/>
  </w:num>
  <w:num w:numId="20">
    <w:abstractNumId w:val="22"/>
  </w:num>
  <w:num w:numId="21">
    <w:abstractNumId w:val="8"/>
  </w:num>
  <w:num w:numId="22">
    <w:abstractNumId w:val="30"/>
  </w:num>
  <w:num w:numId="23">
    <w:abstractNumId w:val="24"/>
  </w:num>
  <w:num w:numId="24">
    <w:abstractNumId w:val="40"/>
  </w:num>
  <w:num w:numId="25">
    <w:abstractNumId w:val="45"/>
  </w:num>
  <w:num w:numId="26">
    <w:abstractNumId w:val="4"/>
  </w:num>
  <w:num w:numId="27">
    <w:abstractNumId w:val="11"/>
  </w:num>
  <w:num w:numId="28">
    <w:abstractNumId w:val="38"/>
  </w:num>
  <w:num w:numId="29">
    <w:abstractNumId w:val="19"/>
  </w:num>
  <w:num w:numId="30">
    <w:abstractNumId w:val="18"/>
  </w:num>
  <w:num w:numId="31">
    <w:abstractNumId w:val="42"/>
  </w:num>
  <w:num w:numId="32">
    <w:abstractNumId w:val="17"/>
  </w:num>
  <w:num w:numId="33">
    <w:abstractNumId w:val="32"/>
  </w:num>
  <w:num w:numId="34">
    <w:abstractNumId w:val="9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  <w:num w:numId="45">
    <w:abstractNumId w:val="41"/>
  </w:num>
  <w:num w:numId="46">
    <w:abstractNumId w:val="2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4"/>
    <w:rsid w:val="0000119B"/>
    <w:rsid w:val="00001C11"/>
    <w:rsid w:val="000022FD"/>
    <w:rsid w:val="00005B46"/>
    <w:rsid w:val="00006163"/>
    <w:rsid w:val="0001085D"/>
    <w:rsid w:val="000122A3"/>
    <w:rsid w:val="00013A6A"/>
    <w:rsid w:val="000144C4"/>
    <w:rsid w:val="00020D84"/>
    <w:rsid w:val="00023DDD"/>
    <w:rsid w:val="00024EDE"/>
    <w:rsid w:val="0002710A"/>
    <w:rsid w:val="00030B05"/>
    <w:rsid w:val="00031E71"/>
    <w:rsid w:val="00032DD5"/>
    <w:rsid w:val="0003394B"/>
    <w:rsid w:val="000344B7"/>
    <w:rsid w:val="000345FC"/>
    <w:rsid w:val="00035C61"/>
    <w:rsid w:val="000430D4"/>
    <w:rsid w:val="00044ACC"/>
    <w:rsid w:val="00045497"/>
    <w:rsid w:val="00045652"/>
    <w:rsid w:val="00047A5B"/>
    <w:rsid w:val="00050EB8"/>
    <w:rsid w:val="00052E9B"/>
    <w:rsid w:val="00053458"/>
    <w:rsid w:val="00056A1C"/>
    <w:rsid w:val="00057BA3"/>
    <w:rsid w:val="0006171F"/>
    <w:rsid w:val="00062EA7"/>
    <w:rsid w:val="00066469"/>
    <w:rsid w:val="00067C0A"/>
    <w:rsid w:val="00070FA1"/>
    <w:rsid w:val="000737A8"/>
    <w:rsid w:val="000749CB"/>
    <w:rsid w:val="000765B1"/>
    <w:rsid w:val="000769BA"/>
    <w:rsid w:val="00077A71"/>
    <w:rsid w:val="0008081E"/>
    <w:rsid w:val="000825E8"/>
    <w:rsid w:val="0008265D"/>
    <w:rsid w:val="000870BF"/>
    <w:rsid w:val="000933E7"/>
    <w:rsid w:val="000943B1"/>
    <w:rsid w:val="00095F9D"/>
    <w:rsid w:val="000A0860"/>
    <w:rsid w:val="000A0F4D"/>
    <w:rsid w:val="000A5DF0"/>
    <w:rsid w:val="000A6A43"/>
    <w:rsid w:val="000A6EC4"/>
    <w:rsid w:val="000B0764"/>
    <w:rsid w:val="000B0984"/>
    <w:rsid w:val="000B0F95"/>
    <w:rsid w:val="000B1BAF"/>
    <w:rsid w:val="000B26CA"/>
    <w:rsid w:val="000B3425"/>
    <w:rsid w:val="000B51AE"/>
    <w:rsid w:val="000B5779"/>
    <w:rsid w:val="000B5F22"/>
    <w:rsid w:val="000B6727"/>
    <w:rsid w:val="000B70F9"/>
    <w:rsid w:val="000B7522"/>
    <w:rsid w:val="000B784C"/>
    <w:rsid w:val="000B7DC3"/>
    <w:rsid w:val="000C1949"/>
    <w:rsid w:val="000C3973"/>
    <w:rsid w:val="000C7519"/>
    <w:rsid w:val="000D0047"/>
    <w:rsid w:val="000D04CA"/>
    <w:rsid w:val="000D46EB"/>
    <w:rsid w:val="000D6669"/>
    <w:rsid w:val="000D6D4C"/>
    <w:rsid w:val="000E0EA6"/>
    <w:rsid w:val="000E16DE"/>
    <w:rsid w:val="000E2FB0"/>
    <w:rsid w:val="000F039C"/>
    <w:rsid w:val="000F1FD3"/>
    <w:rsid w:val="000F402C"/>
    <w:rsid w:val="000F4397"/>
    <w:rsid w:val="000F516D"/>
    <w:rsid w:val="000F531B"/>
    <w:rsid w:val="000F57F2"/>
    <w:rsid w:val="000F59DE"/>
    <w:rsid w:val="0010063D"/>
    <w:rsid w:val="00102583"/>
    <w:rsid w:val="001066F1"/>
    <w:rsid w:val="0010684B"/>
    <w:rsid w:val="00120336"/>
    <w:rsid w:val="0012452F"/>
    <w:rsid w:val="00124810"/>
    <w:rsid w:val="001252CE"/>
    <w:rsid w:val="00126972"/>
    <w:rsid w:val="00130AB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257A"/>
    <w:rsid w:val="001444EA"/>
    <w:rsid w:val="00144C94"/>
    <w:rsid w:val="00147F21"/>
    <w:rsid w:val="0015030E"/>
    <w:rsid w:val="00150383"/>
    <w:rsid w:val="00151837"/>
    <w:rsid w:val="0015481B"/>
    <w:rsid w:val="00165485"/>
    <w:rsid w:val="00174A71"/>
    <w:rsid w:val="00176CB3"/>
    <w:rsid w:val="00181FC0"/>
    <w:rsid w:val="00182746"/>
    <w:rsid w:val="001835F4"/>
    <w:rsid w:val="00183C51"/>
    <w:rsid w:val="00187ACF"/>
    <w:rsid w:val="00194B7F"/>
    <w:rsid w:val="00195FC6"/>
    <w:rsid w:val="001A102E"/>
    <w:rsid w:val="001A3630"/>
    <w:rsid w:val="001A5E22"/>
    <w:rsid w:val="001B363A"/>
    <w:rsid w:val="001B7033"/>
    <w:rsid w:val="001B7EA4"/>
    <w:rsid w:val="001B7EA5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F6B"/>
    <w:rsid w:val="001E38EF"/>
    <w:rsid w:val="001E5215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12CB9"/>
    <w:rsid w:val="00221AB4"/>
    <w:rsid w:val="00224A7F"/>
    <w:rsid w:val="00225871"/>
    <w:rsid w:val="00226DDA"/>
    <w:rsid w:val="00227633"/>
    <w:rsid w:val="00232908"/>
    <w:rsid w:val="002353E6"/>
    <w:rsid w:val="002362BD"/>
    <w:rsid w:val="002364CD"/>
    <w:rsid w:val="002366AB"/>
    <w:rsid w:val="00244D17"/>
    <w:rsid w:val="00246135"/>
    <w:rsid w:val="00250C51"/>
    <w:rsid w:val="00252B21"/>
    <w:rsid w:val="00257CBB"/>
    <w:rsid w:val="00260FEF"/>
    <w:rsid w:val="00267AE2"/>
    <w:rsid w:val="00272386"/>
    <w:rsid w:val="00273D24"/>
    <w:rsid w:val="00273DF5"/>
    <w:rsid w:val="00276B8E"/>
    <w:rsid w:val="0027799C"/>
    <w:rsid w:val="00281207"/>
    <w:rsid w:val="00281C6C"/>
    <w:rsid w:val="00286F13"/>
    <w:rsid w:val="0029086E"/>
    <w:rsid w:val="00293CB9"/>
    <w:rsid w:val="00294A7C"/>
    <w:rsid w:val="00296781"/>
    <w:rsid w:val="002A6E9C"/>
    <w:rsid w:val="002A707E"/>
    <w:rsid w:val="002A779C"/>
    <w:rsid w:val="002B51F9"/>
    <w:rsid w:val="002B748B"/>
    <w:rsid w:val="002B7A96"/>
    <w:rsid w:val="002C0715"/>
    <w:rsid w:val="002C5B6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9D1"/>
    <w:rsid w:val="003021A9"/>
    <w:rsid w:val="00303283"/>
    <w:rsid w:val="00303A85"/>
    <w:rsid w:val="00303DB6"/>
    <w:rsid w:val="00305895"/>
    <w:rsid w:val="003137B5"/>
    <w:rsid w:val="00313E6A"/>
    <w:rsid w:val="00314B92"/>
    <w:rsid w:val="0031532B"/>
    <w:rsid w:val="003154E2"/>
    <w:rsid w:val="003169BC"/>
    <w:rsid w:val="00316EB2"/>
    <w:rsid w:val="0032008B"/>
    <w:rsid w:val="00323B32"/>
    <w:rsid w:val="003259DB"/>
    <w:rsid w:val="00325C57"/>
    <w:rsid w:val="003267F8"/>
    <w:rsid w:val="003303FA"/>
    <w:rsid w:val="0033367B"/>
    <w:rsid w:val="003467A0"/>
    <w:rsid w:val="0035047F"/>
    <w:rsid w:val="003525C4"/>
    <w:rsid w:val="003539FE"/>
    <w:rsid w:val="00354C4F"/>
    <w:rsid w:val="00357160"/>
    <w:rsid w:val="00360670"/>
    <w:rsid w:val="00361A9A"/>
    <w:rsid w:val="0036507A"/>
    <w:rsid w:val="0036692F"/>
    <w:rsid w:val="00367F83"/>
    <w:rsid w:val="00370650"/>
    <w:rsid w:val="003709EF"/>
    <w:rsid w:val="00374F93"/>
    <w:rsid w:val="00376585"/>
    <w:rsid w:val="00380ED6"/>
    <w:rsid w:val="00381828"/>
    <w:rsid w:val="00382003"/>
    <w:rsid w:val="00382561"/>
    <w:rsid w:val="00383D9A"/>
    <w:rsid w:val="0039025B"/>
    <w:rsid w:val="00394D4A"/>
    <w:rsid w:val="00395496"/>
    <w:rsid w:val="00397D9C"/>
    <w:rsid w:val="003A060F"/>
    <w:rsid w:val="003A0FBA"/>
    <w:rsid w:val="003A17B9"/>
    <w:rsid w:val="003A2FF6"/>
    <w:rsid w:val="003A6E0A"/>
    <w:rsid w:val="003A7E69"/>
    <w:rsid w:val="003B0F28"/>
    <w:rsid w:val="003B46F0"/>
    <w:rsid w:val="003B5B4B"/>
    <w:rsid w:val="003B5E2C"/>
    <w:rsid w:val="003C5CA2"/>
    <w:rsid w:val="003C5CF8"/>
    <w:rsid w:val="003D0E9B"/>
    <w:rsid w:val="003D0ECF"/>
    <w:rsid w:val="003D21E1"/>
    <w:rsid w:val="003D3E96"/>
    <w:rsid w:val="003D4A96"/>
    <w:rsid w:val="003D744C"/>
    <w:rsid w:val="003D7C59"/>
    <w:rsid w:val="003E1DE1"/>
    <w:rsid w:val="003E2BA1"/>
    <w:rsid w:val="003E6353"/>
    <w:rsid w:val="003E7927"/>
    <w:rsid w:val="003F11D9"/>
    <w:rsid w:val="003F413B"/>
    <w:rsid w:val="003F4B01"/>
    <w:rsid w:val="003F5207"/>
    <w:rsid w:val="003F66C5"/>
    <w:rsid w:val="004007B0"/>
    <w:rsid w:val="0040304E"/>
    <w:rsid w:val="00403379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F8"/>
    <w:rsid w:val="00437E57"/>
    <w:rsid w:val="00442861"/>
    <w:rsid w:val="004438DF"/>
    <w:rsid w:val="004440FA"/>
    <w:rsid w:val="0044695C"/>
    <w:rsid w:val="0044790B"/>
    <w:rsid w:val="004507AF"/>
    <w:rsid w:val="0045408A"/>
    <w:rsid w:val="00455A87"/>
    <w:rsid w:val="00457180"/>
    <w:rsid w:val="004620BB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3F8B"/>
    <w:rsid w:val="004942A0"/>
    <w:rsid w:val="0049438D"/>
    <w:rsid w:val="004945F1"/>
    <w:rsid w:val="00497C28"/>
    <w:rsid w:val="004A5288"/>
    <w:rsid w:val="004A54A1"/>
    <w:rsid w:val="004A72C4"/>
    <w:rsid w:val="004B050D"/>
    <w:rsid w:val="004B0C5C"/>
    <w:rsid w:val="004B1D23"/>
    <w:rsid w:val="004B34FA"/>
    <w:rsid w:val="004B4553"/>
    <w:rsid w:val="004B728A"/>
    <w:rsid w:val="004B748F"/>
    <w:rsid w:val="004C3913"/>
    <w:rsid w:val="004C5CC3"/>
    <w:rsid w:val="004C60FA"/>
    <w:rsid w:val="004C71B6"/>
    <w:rsid w:val="004C7802"/>
    <w:rsid w:val="004D01F2"/>
    <w:rsid w:val="004D0672"/>
    <w:rsid w:val="004D1538"/>
    <w:rsid w:val="004E1E19"/>
    <w:rsid w:val="004E3C8F"/>
    <w:rsid w:val="004F0C8D"/>
    <w:rsid w:val="004F21E2"/>
    <w:rsid w:val="004F3B60"/>
    <w:rsid w:val="004F412B"/>
    <w:rsid w:val="004F4A3E"/>
    <w:rsid w:val="004F4FEC"/>
    <w:rsid w:val="004F61AF"/>
    <w:rsid w:val="004F6337"/>
    <w:rsid w:val="00501977"/>
    <w:rsid w:val="0050559E"/>
    <w:rsid w:val="00512094"/>
    <w:rsid w:val="00514856"/>
    <w:rsid w:val="00515688"/>
    <w:rsid w:val="0051660C"/>
    <w:rsid w:val="00517471"/>
    <w:rsid w:val="0052103E"/>
    <w:rsid w:val="005220E5"/>
    <w:rsid w:val="00524257"/>
    <w:rsid w:val="005253D0"/>
    <w:rsid w:val="005279DB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64C2"/>
    <w:rsid w:val="00547D1B"/>
    <w:rsid w:val="00553969"/>
    <w:rsid w:val="005618EC"/>
    <w:rsid w:val="00564E75"/>
    <w:rsid w:val="00565D6C"/>
    <w:rsid w:val="0057130A"/>
    <w:rsid w:val="005752A3"/>
    <w:rsid w:val="00575EFB"/>
    <w:rsid w:val="00577FB2"/>
    <w:rsid w:val="00580AA4"/>
    <w:rsid w:val="00580EC2"/>
    <w:rsid w:val="00581EE2"/>
    <w:rsid w:val="005849F3"/>
    <w:rsid w:val="00586459"/>
    <w:rsid w:val="005869FA"/>
    <w:rsid w:val="00591164"/>
    <w:rsid w:val="00592349"/>
    <w:rsid w:val="005958AB"/>
    <w:rsid w:val="005970E6"/>
    <w:rsid w:val="005A1544"/>
    <w:rsid w:val="005A1ECA"/>
    <w:rsid w:val="005A52D2"/>
    <w:rsid w:val="005A5A27"/>
    <w:rsid w:val="005A768E"/>
    <w:rsid w:val="005A783E"/>
    <w:rsid w:val="005B43E8"/>
    <w:rsid w:val="005C1EEC"/>
    <w:rsid w:val="005C336F"/>
    <w:rsid w:val="005C35B8"/>
    <w:rsid w:val="005C39AD"/>
    <w:rsid w:val="005C79AB"/>
    <w:rsid w:val="005D0AF3"/>
    <w:rsid w:val="005D16FF"/>
    <w:rsid w:val="005D1793"/>
    <w:rsid w:val="005D2519"/>
    <w:rsid w:val="005E218C"/>
    <w:rsid w:val="005E356C"/>
    <w:rsid w:val="005E5910"/>
    <w:rsid w:val="005E6CD5"/>
    <w:rsid w:val="005E78DC"/>
    <w:rsid w:val="005E79C4"/>
    <w:rsid w:val="005E7A77"/>
    <w:rsid w:val="005F5407"/>
    <w:rsid w:val="005F61D7"/>
    <w:rsid w:val="00600EB8"/>
    <w:rsid w:val="00604574"/>
    <w:rsid w:val="00611390"/>
    <w:rsid w:val="00611957"/>
    <w:rsid w:val="00611C1F"/>
    <w:rsid w:val="00613743"/>
    <w:rsid w:val="00616BD3"/>
    <w:rsid w:val="00622EF4"/>
    <w:rsid w:val="006235F7"/>
    <w:rsid w:val="0062563B"/>
    <w:rsid w:val="00627DC1"/>
    <w:rsid w:val="0063475B"/>
    <w:rsid w:val="00635285"/>
    <w:rsid w:val="00636F46"/>
    <w:rsid w:val="00640245"/>
    <w:rsid w:val="00640EF2"/>
    <w:rsid w:val="00644EDB"/>
    <w:rsid w:val="00647900"/>
    <w:rsid w:val="0065019D"/>
    <w:rsid w:val="00656B80"/>
    <w:rsid w:val="00660B9B"/>
    <w:rsid w:val="006611BC"/>
    <w:rsid w:val="00661F5A"/>
    <w:rsid w:val="006621CE"/>
    <w:rsid w:val="0066584B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90173"/>
    <w:rsid w:val="006905E8"/>
    <w:rsid w:val="00692BA9"/>
    <w:rsid w:val="00693661"/>
    <w:rsid w:val="00697302"/>
    <w:rsid w:val="0069730F"/>
    <w:rsid w:val="006A03C2"/>
    <w:rsid w:val="006A0741"/>
    <w:rsid w:val="006A22AD"/>
    <w:rsid w:val="006A2C3B"/>
    <w:rsid w:val="006A3AF5"/>
    <w:rsid w:val="006A5C65"/>
    <w:rsid w:val="006A671E"/>
    <w:rsid w:val="006A79C9"/>
    <w:rsid w:val="006B06E9"/>
    <w:rsid w:val="006B3881"/>
    <w:rsid w:val="006B49D2"/>
    <w:rsid w:val="006B5AF8"/>
    <w:rsid w:val="006C0BE3"/>
    <w:rsid w:val="006C0CFB"/>
    <w:rsid w:val="006C3BB3"/>
    <w:rsid w:val="006C3ED1"/>
    <w:rsid w:val="006C4AF4"/>
    <w:rsid w:val="006C58F7"/>
    <w:rsid w:val="006C5EE1"/>
    <w:rsid w:val="006C63FB"/>
    <w:rsid w:val="006D11D0"/>
    <w:rsid w:val="006D27C2"/>
    <w:rsid w:val="006D4F97"/>
    <w:rsid w:val="006D59AB"/>
    <w:rsid w:val="006D6494"/>
    <w:rsid w:val="006E79A3"/>
    <w:rsid w:val="006F07BB"/>
    <w:rsid w:val="006F11AC"/>
    <w:rsid w:val="006F3B9F"/>
    <w:rsid w:val="006F54D0"/>
    <w:rsid w:val="006F5E98"/>
    <w:rsid w:val="006F5F30"/>
    <w:rsid w:val="006F7211"/>
    <w:rsid w:val="00700D25"/>
    <w:rsid w:val="00702302"/>
    <w:rsid w:val="00703112"/>
    <w:rsid w:val="0071042D"/>
    <w:rsid w:val="00711498"/>
    <w:rsid w:val="00714E70"/>
    <w:rsid w:val="00720179"/>
    <w:rsid w:val="00721A61"/>
    <w:rsid w:val="00722079"/>
    <w:rsid w:val="007220DB"/>
    <w:rsid w:val="00725849"/>
    <w:rsid w:val="0072790A"/>
    <w:rsid w:val="00727A34"/>
    <w:rsid w:val="00727CD4"/>
    <w:rsid w:val="00730B70"/>
    <w:rsid w:val="007315A6"/>
    <w:rsid w:val="007324EE"/>
    <w:rsid w:val="0073280C"/>
    <w:rsid w:val="007328E8"/>
    <w:rsid w:val="00734B54"/>
    <w:rsid w:val="00735843"/>
    <w:rsid w:val="00735D9A"/>
    <w:rsid w:val="00740DF3"/>
    <w:rsid w:val="00741D31"/>
    <w:rsid w:val="00743C99"/>
    <w:rsid w:val="007459F8"/>
    <w:rsid w:val="00746F4D"/>
    <w:rsid w:val="0075166A"/>
    <w:rsid w:val="00757467"/>
    <w:rsid w:val="00757C53"/>
    <w:rsid w:val="00761FD7"/>
    <w:rsid w:val="00765BD0"/>
    <w:rsid w:val="00767857"/>
    <w:rsid w:val="00770083"/>
    <w:rsid w:val="007707DB"/>
    <w:rsid w:val="00772AD3"/>
    <w:rsid w:val="00774ADA"/>
    <w:rsid w:val="007763E5"/>
    <w:rsid w:val="00777F89"/>
    <w:rsid w:val="00782F10"/>
    <w:rsid w:val="00784430"/>
    <w:rsid w:val="007870D7"/>
    <w:rsid w:val="007A0416"/>
    <w:rsid w:val="007A06AB"/>
    <w:rsid w:val="007A1881"/>
    <w:rsid w:val="007A465B"/>
    <w:rsid w:val="007A4AE6"/>
    <w:rsid w:val="007A59B7"/>
    <w:rsid w:val="007A6355"/>
    <w:rsid w:val="007A7469"/>
    <w:rsid w:val="007B315D"/>
    <w:rsid w:val="007B4ADB"/>
    <w:rsid w:val="007C0178"/>
    <w:rsid w:val="007C2E90"/>
    <w:rsid w:val="007D1242"/>
    <w:rsid w:val="007D42C3"/>
    <w:rsid w:val="007D509E"/>
    <w:rsid w:val="007D553E"/>
    <w:rsid w:val="007E109A"/>
    <w:rsid w:val="007E155B"/>
    <w:rsid w:val="007E167B"/>
    <w:rsid w:val="007E1E8C"/>
    <w:rsid w:val="007E53ED"/>
    <w:rsid w:val="007F023C"/>
    <w:rsid w:val="007F0CA1"/>
    <w:rsid w:val="007F1274"/>
    <w:rsid w:val="007F48E6"/>
    <w:rsid w:val="007F6777"/>
    <w:rsid w:val="008003C8"/>
    <w:rsid w:val="00800CF6"/>
    <w:rsid w:val="00803B36"/>
    <w:rsid w:val="00810792"/>
    <w:rsid w:val="00812DF9"/>
    <w:rsid w:val="00812E09"/>
    <w:rsid w:val="00813EB9"/>
    <w:rsid w:val="00817A1F"/>
    <w:rsid w:val="008203DC"/>
    <w:rsid w:val="008206F8"/>
    <w:rsid w:val="00823AEF"/>
    <w:rsid w:val="00824DBF"/>
    <w:rsid w:val="00826A73"/>
    <w:rsid w:val="00827E60"/>
    <w:rsid w:val="00836A0F"/>
    <w:rsid w:val="00837775"/>
    <w:rsid w:val="00841C6D"/>
    <w:rsid w:val="008432C3"/>
    <w:rsid w:val="00845B35"/>
    <w:rsid w:val="00845EAB"/>
    <w:rsid w:val="0085024C"/>
    <w:rsid w:val="008512D2"/>
    <w:rsid w:val="00851FE8"/>
    <w:rsid w:val="0085507A"/>
    <w:rsid w:val="00863A34"/>
    <w:rsid w:val="008642DD"/>
    <w:rsid w:val="00867323"/>
    <w:rsid w:val="0087126F"/>
    <w:rsid w:val="008767B4"/>
    <w:rsid w:val="008775CA"/>
    <w:rsid w:val="00882393"/>
    <w:rsid w:val="00882F06"/>
    <w:rsid w:val="00891A0C"/>
    <w:rsid w:val="00892DDC"/>
    <w:rsid w:val="008930B6"/>
    <w:rsid w:val="00893464"/>
    <w:rsid w:val="00893950"/>
    <w:rsid w:val="008939C3"/>
    <w:rsid w:val="00895AF3"/>
    <w:rsid w:val="008A52DA"/>
    <w:rsid w:val="008A7368"/>
    <w:rsid w:val="008B0B04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2722"/>
    <w:rsid w:val="008E2980"/>
    <w:rsid w:val="008F3159"/>
    <w:rsid w:val="00901BA3"/>
    <w:rsid w:val="009038B1"/>
    <w:rsid w:val="0090759A"/>
    <w:rsid w:val="00910B6B"/>
    <w:rsid w:val="00915B5A"/>
    <w:rsid w:val="00917316"/>
    <w:rsid w:val="009175DE"/>
    <w:rsid w:val="009200E8"/>
    <w:rsid w:val="00921585"/>
    <w:rsid w:val="0092210C"/>
    <w:rsid w:val="0092504B"/>
    <w:rsid w:val="00930CDA"/>
    <w:rsid w:val="0093111B"/>
    <w:rsid w:val="0093186C"/>
    <w:rsid w:val="00935E14"/>
    <w:rsid w:val="0093736B"/>
    <w:rsid w:val="009425EF"/>
    <w:rsid w:val="0094434F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D6D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24C8"/>
    <w:rsid w:val="009D603E"/>
    <w:rsid w:val="009D7BCA"/>
    <w:rsid w:val="009E2CAC"/>
    <w:rsid w:val="009E53D9"/>
    <w:rsid w:val="009F6797"/>
    <w:rsid w:val="009F67FE"/>
    <w:rsid w:val="00A0087B"/>
    <w:rsid w:val="00A00C2D"/>
    <w:rsid w:val="00A022C8"/>
    <w:rsid w:val="00A022D1"/>
    <w:rsid w:val="00A02433"/>
    <w:rsid w:val="00A02ECF"/>
    <w:rsid w:val="00A11347"/>
    <w:rsid w:val="00A13048"/>
    <w:rsid w:val="00A16E93"/>
    <w:rsid w:val="00A2152D"/>
    <w:rsid w:val="00A26F59"/>
    <w:rsid w:val="00A31A12"/>
    <w:rsid w:val="00A32129"/>
    <w:rsid w:val="00A329C1"/>
    <w:rsid w:val="00A368D9"/>
    <w:rsid w:val="00A36F94"/>
    <w:rsid w:val="00A3750D"/>
    <w:rsid w:val="00A37CE2"/>
    <w:rsid w:val="00A47425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B3F"/>
    <w:rsid w:val="00A86179"/>
    <w:rsid w:val="00A8775A"/>
    <w:rsid w:val="00A9079E"/>
    <w:rsid w:val="00A93B23"/>
    <w:rsid w:val="00A94CB9"/>
    <w:rsid w:val="00A978D4"/>
    <w:rsid w:val="00AA05A9"/>
    <w:rsid w:val="00AA3971"/>
    <w:rsid w:val="00AA4A06"/>
    <w:rsid w:val="00AB282E"/>
    <w:rsid w:val="00AB5433"/>
    <w:rsid w:val="00AB589F"/>
    <w:rsid w:val="00AC2CF1"/>
    <w:rsid w:val="00AC52DB"/>
    <w:rsid w:val="00AC63BA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497F"/>
    <w:rsid w:val="00AF6F87"/>
    <w:rsid w:val="00AF758E"/>
    <w:rsid w:val="00AF76E1"/>
    <w:rsid w:val="00B017C1"/>
    <w:rsid w:val="00B0435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30A5C"/>
    <w:rsid w:val="00B33AA9"/>
    <w:rsid w:val="00B417D3"/>
    <w:rsid w:val="00B43AC0"/>
    <w:rsid w:val="00B43C0B"/>
    <w:rsid w:val="00B4696A"/>
    <w:rsid w:val="00B47113"/>
    <w:rsid w:val="00B4747B"/>
    <w:rsid w:val="00B51D82"/>
    <w:rsid w:val="00B54527"/>
    <w:rsid w:val="00B55D17"/>
    <w:rsid w:val="00B629A6"/>
    <w:rsid w:val="00B640F7"/>
    <w:rsid w:val="00B70721"/>
    <w:rsid w:val="00B71CFF"/>
    <w:rsid w:val="00B7319E"/>
    <w:rsid w:val="00B736E1"/>
    <w:rsid w:val="00B74637"/>
    <w:rsid w:val="00B76F06"/>
    <w:rsid w:val="00B77019"/>
    <w:rsid w:val="00B804C5"/>
    <w:rsid w:val="00B80B2E"/>
    <w:rsid w:val="00B8187F"/>
    <w:rsid w:val="00B846BB"/>
    <w:rsid w:val="00B84E46"/>
    <w:rsid w:val="00B86348"/>
    <w:rsid w:val="00B86BE8"/>
    <w:rsid w:val="00B90164"/>
    <w:rsid w:val="00B92E2F"/>
    <w:rsid w:val="00B94E58"/>
    <w:rsid w:val="00B95E89"/>
    <w:rsid w:val="00B966DB"/>
    <w:rsid w:val="00B97450"/>
    <w:rsid w:val="00BA2826"/>
    <w:rsid w:val="00BA4824"/>
    <w:rsid w:val="00BA7BEA"/>
    <w:rsid w:val="00BB3D00"/>
    <w:rsid w:val="00BB440E"/>
    <w:rsid w:val="00BB6CF1"/>
    <w:rsid w:val="00BC4AD5"/>
    <w:rsid w:val="00BD0E0D"/>
    <w:rsid w:val="00BD24C3"/>
    <w:rsid w:val="00BD650F"/>
    <w:rsid w:val="00BE19EB"/>
    <w:rsid w:val="00BE1D2C"/>
    <w:rsid w:val="00BE2222"/>
    <w:rsid w:val="00BE63B1"/>
    <w:rsid w:val="00BF2690"/>
    <w:rsid w:val="00BF47EB"/>
    <w:rsid w:val="00BF4F4E"/>
    <w:rsid w:val="00C025F9"/>
    <w:rsid w:val="00C05AB0"/>
    <w:rsid w:val="00C05DD4"/>
    <w:rsid w:val="00C1235D"/>
    <w:rsid w:val="00C12A04"/>
    <w:rsid w:val="00C16A44"/>
    <w:rsid w:val="00C20F36"/>
    <w:rsid w:val="00C22603"/>
    <w:rsid w:val="00C25116"/>
    <w:rsid w:val="00C263C1"/>
    <w:rsid w:val="00C30417"/>
    <w:rsid w:val="00C34005"/>
    <w:rsid w:val="00C3500F"/>
    <w:rsid w:val="00C3557C"/>
    <w:rsid w:val="00C358F0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46F"/>
    <w:rsid w:val="00C55F34"/>
    <w:rsid w:val="00C56C18"/>
    <w:rsid w:val="00C60613"/>
    <w:rsid w:val="00C63091"/>
    <w:rsid w:val="00C651A6"/>
    <w:rsid w:val="00C65578"/>
    <w:rsid w:val="00C70843"/>
    <w:rsid w:val="00C76F08"/>
    <w:rsid w:val="00C77322"/>
    <w:rsid w:val="00C77889"/>
    <w:rsid w:val="00C81489"/>
    <w:rsid w:val="00C85A58"/>
    <w:rsid w:val="00C90683"/>
    <w:rsid w:val="00C93B58"/>
    <w:rsid w:val="00C96768"/>
    <w:rsid w:val="00C978A1"/>
    <w:rsid w:val="00CA4B6E"/>
    <w:rsid w:val="00CA5190"/>
    <w:rsid w:val="00CA5EB1"/>
    <w:rsid w:val="00CA6D7F"/>
    <w:rsid w:val="00CA75D0"/>
    <w:rsid w:val="00CB1D37"/>
    <w:rsid w:val="00CB42ED"/>
    <w:rsid w:val="00CB58B6"/>
    <w:rsid w:val="00CB7C91"/>
    <w:rsid w:val="00CC102D"/>
    <w:rsid w:val="00CC3F34"/>
    <w:rsid w:val="00CC446F"/>
    <w:rsid w:val="00CC57A5"/>
    <w:rsid w:val="00CC675E"/>
    <w:rsid w:val="00CD00DC"/>
    <w:rsid w:val="00CD114A"/>
    <w:rsid w:val="00CD1FEF"/>
    <w:rsid w:val="00CD2A01"/>
    <w:rsid w:val="00CD38E8"/>
    <w:rsid w:val="00CD7BC6"/>
    <w:rsid w:val="00CD7D48"/>
    <w:rsid w:val="00CE014E"/>
    <w:rsid w:val="00CE047A"/>
    <w:rsid w:val="00CE400C"/>
    <w:rsid w:val="00CE59CA"/>
    <w:rsid w:val="00CE5F5C"/>
    <w:rsid w:val="00CF0B13"/>
    <w:rsid w:val="00CF2984"/>
    <w:rsid w:val="00D004E1"/>
    <w:rsid w:val="00D0195C"/>
    <w:rsid w:val="00D02364"/>
    <w:rsid w:val="00D05561"/>
    <w:rsid w:val="00D06494"/>
    <w:rsid w:val="00D126E5"/>
    <w:rsid w:val="00D136CE"/>
    <w:rsid w:val="00D13FCE"/>
    <w:rsid w:val="00D14B79"/>
    <w:rsid w:val="00D2096C"/>
    <w:rsid w:val="00D20B4D"/>
    <w:rsid w:val="00D232EF"/>
    <w:rsid w:val="00D25962"/>
    <w:rsid w:val="00D305FA"/>
    <w:rsid w:val="00D32A90"/>
    <w:rsid w:val="00D33B56"/>
    <w:rsid w:val="00D34321"/>
    <w:rsid w:val="00D344FD"/>
    <w:rsid w:val="00D369F4"/>
    <w:rsid w:val="00D3725C"/>
    <w:rsid w:val="00D4168E"/>
    <w:rsid w:val="00D42F39"/>
    <w:rsid w:val="00D479E0"/>
    <w:rsid w:val="00D52960"/>
    <w:rsid w:val="00D54AB0"/>
    <w:rsid w:val="00D62024"/>
    <w:rsid w:val="00D63DC3"/>
    <w:rsid w:val="00D64E0A"/>
    <w:rsid w:val="00D65EC3"/>
    <w:rsid w:val="00D66619"/>
    <w:rsid w:val="00D6742F"/>
    <w:rsid w:val="00D67A5D"/>
    <w:rsid w:val="00D718AC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E8F"/>
    <w:rsid w:val="00DB16A7"/>
    <w:rsid w:val="00DB5223"/>
    <w:rsid w:val="00DB738E"/>
    <w:rsid w:val="00DC4078"/>
    <w:rsid w:val="00DC5C1F"/>
    <w:rsid w:val="00DC6097"/>
    <w:rsid w:val="00DC744E"/>
    <w:rsid w:val="00DD6C99"/>
    <w:rsid w:val="00DD6D2C"/>
    <w:rsid w:val="00DD739E"/>
    <w:rsid w:val="00DE0AE9"/>
    <w:rsid w:val="00DE44AC"/>
    <w:rsid w:val="00DE6D47"/>
    <w:rsid w:val="00DF0CCD"/>
    <w:rsid w:val="00DF16EB"/>
    <w:rsid w:val="00DF2178"/>
    <w:rsid w:val="00DF3C09"/>
    <w:rsid w:val="00DF3D65"/>
    <w:rsid w:val="00DF554E"/>
    <w:rsid w:val="00DF5C0E"/>
    <w:rsid w:val="00E00367"/>
    <w:rsid w:val="00E00A80"/>
    <w:rsid w:val="00E04C1F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54AC"/>
    <w:rsid w:val="00E25B26"/>
    <w:rsid w:val="00E264E4"/>
    <w:rsid w:val="00E32CB2"/>
    <w:rsid w:val="00E338E2"/>
    <w:rsid w:val="00E359E5"/>
    <w:rsid w:val="00E3643E"/>
    <w:rsid w:val="00E43126"/>
    <w:rsid w:val="00E4563A"/>
    <w:rsid w:val="00E45DE3"/>
    <w:rsid w:val="00E460E9"/>
    <w:rsid w:val="00E47CFB"/>
    <w:rsid w:val="00E50EB6"/>
    <w:rsid w:val="00E513E2"/>
    <w:rsid w:val="00E57FA4"/>
    <w:rsid w:val="00E60472"/>
    <w:rsid w:val="00E62FE6"/>
    <w:rsid w:val="00E63D3D"/>
    <w:rsid w:val="00E66987"/>
    <w:rsid w:val="00E678E4"/>
    <w:rsid w:val="00E734B6"/>
    <w:rsid w:val="00E80202"/>
    <w:rsid w:val="00E809BC"/>
    <w:rsid w:val="00E81C30"/>
    <w:rsid w:val="00E8249D"/>
    <w:rsid w:val="00E84727"/>
    <w:rsid w:val="00E84C27"/>
    <w:rsid w:val="00E860B8"/>
    <w:rsid w:val="00E86848"/>
    <w:rsid w:val="00E90E89"/>
    <w:rsid w:val="00E9338A"/>
    <w:rsid w:val="00E94BD2"/>
    <w:rsid w:val="00EA0C4C"/>
    <w:rsid w:val="00EA463B"/>
    <w:rsid w:val="00EA69C5"/>
    <w:rsid w:val="00EA6DAF"/>
    <w:rsid w:val="00EB0FBF"/>
    <w:rsid w:val="00EB3044"/>
    <w:rsid w:val="00EB73C7"/>
    <w:rsid w:val="00EB7D10"/>
    <w:rsid w:val="00EC09A9"/>
    <w:rsid w:val="00EC2CF9"/>
    <w:rsid w:val="00EC43E9"/>
    <w:rsid w:val="00EC57A6"/>
    <w:rsid w:val="00ED2139"/>
    <w:rsid w:val="00ED244A"/>
    <w:rsid w:val="00ED46EB"/>
    <w:rsid w:val="00ED6012"/>
    <w:rsid w:val="00ED73FF"/>
    <w:rsid w:val="00EE1199"/>
    <w:rsid w:val="00EE4A53"/>
    <w:rsid w:val="00EE5BC7"/>
    <w:rsid w:val="00EE5E1E"/>
    <w:rsid w:val="00EE6B8A"/>
    <w:rsid w:val="00EF2DFB"/>
    <w:rsid w:val="00EF780F"/>
    <w:rsid w:val="00F0057D"/>
    <w:rsid w:val="00F01972"/>
    <w:rsid w:val="00F061A2"/>
    <w:rsid w:val="00F10A27"/>
    <w:rsid w:val="00F10AD1"/>
    <w:rsid w:val="00F14906"/>
    <w:rsid w:val="00F1753C"/>
    <w:rsid w:val="00F221A7"/>
    <w:rsid w:val="00F254E9"/>
    <w:rsid w:val="00F30B2F"/>
    <w:rsid w:val="00F330E8"/>
    <w:rsid w:val="00F33229"/>
    <w:rsid w:val="00F35321"/>
    <w:rsid w:val="00F359C9"/>
    <w:rsid w:val="00F373EA"/>
    <w:rsid w:val="00F37C1F"/>
    <w:rsid w:val="00F42BFD"/>
    <w:rsid w:val="00F468FC"/>
    <w:rsid w:val="00F50EDF"/>
    <w:rsid w:val="00F513DF"/>
    <w:rsid w:val="00F52166"/>
    <w:rsid w:val="00F5223E"/>
    <w:rsid w:val="00F54A64"/>
    <w:rsid w:val="00F54F1A"/>
    <w:rsid w:val="00F573A8"/>
    <w:rsid w:val="00F5761B"/>
    <w:rsid w:val="00F57FE1"/>
    <w:rsid w:val="00F60A27"/>
    <w:rsid w:val="00F64938"/>
    <w:rsid w:val="00F66E52"/>
    <w:rsid w:val="00F70430"/>
    <w:rsid w:val="00F71BCA"/>
    <w:rsid w:val="00F74F95"/>
    <w:rsid w:val="00F75655"/>
    <w:rsid w:val="00F762B2"/>
    <w:rsid w:val="00F81DB0"/>
    <w:rsid w:val="00F840D9"/>
    <w:rsid w:val="00F84C9B"/>
    <w:rsid w:val="00F86C94"/>
    <w:rsid w:val="00F924B1"/>
    <w:rsid w:val="00F95DF3"/>
    <w:rsid w:val="00F9664F"/>
    <w:rsid w:val="00FA05DE"/>
    <w:rsid w:val="00FA2BAC"/>
    <w:rsid w:val="00FA57AB"/>
    <w:rsid w:val="00FA601A"/>
    <w:rsid w:val="00FA7693"/>
    <w:rsid w:val="00FB2823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6245"/>
    <w:rsid w:val="00FE5585"/>
    <w:rsid w:val="00FE55D8"/>
    <w:rsid w:val="00FE765F"/>
    <w:rsid w:val="00FF1BF5"/>
    <w:rsid w:val="00FF2966"/>
    <w:rsid w:val="00FF34F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Выявленные в </a:t>
            </a:r>
            <a:r>
              <a:rPr lang="en-US"/>
              <a:t>I</a:t>
            </a:r>
            <a:r>
              <a:rPr lang="ru-RU"/>
              <a:t> полугодии 2017 г. коррупциогенные факторы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наличие завышенных требований к лицу, предъявляемых для реализации принадлежащего ему права (41,7%)</c:v>
                </c:pt>
                <c:pt idx="1">
                  <c:v>отсутствие или неполнота административных процедур (25%)</c:v>
                </c:pt>
                <c:pt idx="2">
                  <c:v>широта дискреционных полномочий (16,7%)</c:v>
                </c:pt>
                <c:pt idx="3">
                  <c:v>нормативные коллизии (8,3%)</c:v>
                </c:pt>
                <c:pt idx="4">
                  <c:v>принятие нормативного правового акта за пределами компетенции (8,3%)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0.41699999999999998</c:v>
                </c:pt>
                <c:pt idx="1">
                  <c:v>0.25</c:v>
                </c:pt>
                <c:pt idx="2">
                  <c:v>0.16700000000000001</c:v>
                </c:pt>
                <c:pt idx="3">
                  <c:v>8.3000000000000004E-2</c:v>
                </c:pt>
                <c:pt idx="4">
                  <c:v>8.3000000000000004E-2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770584232526493"/>
          <c:y val="0.17863554709349855"/>
          <c:w val="0.36761819124461292"/>
          <c:h val="0.670807785809560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Коррупциогенные факторы, </a:t>
            </a:r>
          </a:p>
          <a:p>
            <a:pPr>
              <a:defRPr/>
            </a:pPr>
            <a:r>
              <a:rPr lang="ru-RU"/>
              <a:t>выявленные в 2015-2017 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широта дискреционных полномочий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полугодие 2015 г.</c:v>
                </c:pt>
                <c:pt idx="1">
                  <c:v>II полугодие 2015 г.</c:v>
                </c:pt>
                <c:pt idx="2">
                  <c:v>I полугодие 2016 г.</c:v>
                </c:pt>
                <c:pt idx="3">
                  <c:v>II полугодие 2016 г.</c:v>
                </c:pt>
                <c:pt idx="4">
                  <c:v>I полугодие 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</c:v>
                </c:pt>
                <c:pt idx="2">
                  <c:v>9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отсутствие или неполнота административных процедур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полугодие 2015 г.</c:v>
                </c:pt>
                <c:pt idx="1">
                  <c:v>II полугодие 2015 г.</c:v>
                </c:pt>
                <c:pt idx="2">
                  <c:v>I полугодие 2016 г.</c:v>
                </c:pt>
                <c:pt idx="3">
                  <c:v>II полугодие 2016 г.</c:v>
                </c:pt>
                <c:pt idx="4">
                  <c:v>I полугодие 2017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выборочное изменение объема прав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полугодие 2015 г.</c:v>
                </c:pt>
                <c:pt idx="1">
                  <c:v>II полугодие 2015 г.</c:v>
                </c:pt>
                <c:pt idx="2">
                  <c:v>I полугодие 2016 г.</c:v>
                </c:pt>
                <c:pt idx="3">
                  <c:v>II полугодие 2016 г.</c:v>
                </c:pt>
                <c:pt idx="4">
                  <c:v>I полугодие 2017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юридико-лингвистическая неопределенность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полугодие 2015 г.</c:v>
                </c:pt>
                <c:pt idx="1">
                  <c:v>II полугодие 2015 г.</c:v>
                </c:pt>
                <c:pt idx="2">
                  <c:v>I полугодие 2016 г.</c:v>
                </c:pt>
                <c:pt idx="3">
                  <c:v>II полугодие 2016 г.</c:v>
                </c:pt>
                <c:pt idx="4">
                  <c:v>I полугодие 2017 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завышенных требований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полугодие 2015 г.</c:v>
                </c:pt>
                <c:pt idx="1">
                  <c:v>II полугодие 2015 г.</c:v>
                </c:pt>
                <c:pt idx="2">
                  <c:v>I полугодие 2016 г.</c:v>
                </c:pt>
                <c:pt idx="3">
                  <c:v>II полугодие 2016 г.</c:v>
                </c:pt>
                <c:pt idx="4">
                  <c:v>I полугодие 2017 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нормативные коллизии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полугодие 2015 г.</c:v>
                </c:pt>
                <c:pt idx="1">
                  <c:v>II полугодие 2015 г.</c:v>
                </c:pt>
                <c:pt idx="2">
                  <c:v>I полугодие 2016 г.</c:v>
                </c:pt>
                <c:pt idx="3">
                  <c:v>II полугодие 2016 г.</c:v>
                </c:pt>
                <c:pt idx="4">
                  <c:v>I полугодие 2017 г.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определение компетенции по формуле "вправе"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полугодие 2015 г.</c:v>
                </c:pt>
                <c:pt idx="1">
                  <c:v>II полугодие 2015 г.</c:v>
                </c:pt>
                <c:pt idx="2">
                  <c:v>I полугодие 2016 г.</c:v>
                </c:pt>
                <c:pt idx="3">
                  <c:v>II полугодие 2016 г.</c:v>
                </c:pt>
                <c:pt idx="4">
                  <c:v>I полугодие 2017 г.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3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принятие нормативного правового акта за пределами компетенции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полугодие 2015 г.</c:v>
                </c:pt>
                <c:pt idx="1">
                  <c:v>II полугодие 2015 г.</c:v>
                </c:pt>
                <c:pt idx="2">
                  <c:v>I полугодие 2016 г.</c:v>
                </c:pt>
                <c:pt idx="3">
                  <c:v>II полугодие 2016 г.</c:v>
                </c:pt>
                <c:pt idx="4">
                  <c:v>I полугодие 2017 г.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1442944"/>
        <c:axId val="151444480"/>
        <c:axId val="0"/>
      </c:bar3DChart>
      <c:catAx>
        <c:axId val="15144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44480"/>
        <c:crosses val="autoZero"/>
        <c:auto val="1"/>
        <c:lblAlgn val="ctr"/>
        <c:lblOffset val="100"/>
        <c:noMultiLvlLbl val="0"/>
      </c:catAx>
      <c:valAx>
        <c:axId val="15144448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44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8FFA-FE2D-462A-8BFD-101005AD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Дубовская Лидия Николаевна</cp:lastModifiedBy>
  <cp:revision>7</cp:revision>
  <cp:lastPrinted>2017-07-19T09:06:00Z</cp:lastPrinted>
  <dcterms:created xsi:type="dcterms:W3CDTF">2017-09-25T06:12:00Z</dcterms:created>
  <dcterms:modified xsi:type="dcterms:W3CDTF">2017-09-25T06:41:00Z</dcterms:modified>
</cp:coreProperties>
</file>